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ED" w:rsidRDefault="008F0BED" w:rsidP="002E2B2F">
      <w:pPr>
        <w:ind w:firstLine="698"/>
        <w:jc w:val="right"/>
      </w:pPr>
      <w:bookmarkStart w:id="0" w:name="sub_8000"/>
      <w:r>
        <w:rPr>
          <w:rStyle w:val="a"/>
          <w:b w:val="0"/>
          <w:bCs w:val="0"/>
        </w:rPr>
        <w:t xml:space="preserve">                                                                                Приложение № 3          </w:t>
      </w:r>
    </w:p>
    <w:bookmarkEnd w:id="0"/>
    <w:p w:rsidR="008F0BED" w:rsidRDefault="008F0BED" w:rsidP="00AC0E40">
      <w:pPr>
        <w:ind w:firstLine="698"/>
        <w:jc w:val="right"/>
      </w:pPr>
      <w:r>
        <w:rPr>
          <w:rStyle w:val="a"/>
          <w:b w:val="0"/>
          <w:bCs w:val="0"/>
        </w:rPr>
        <w:t xml:space="preserve">к </w:t>
      </w:r>
      <w:hyperlink r:id="rId4" w:anchor="sub_10000#sub_10000" w:history="1">
        <w:r w:rsidRPr="00381319">
          <w:rPr>
            <w:rStyle w:val="a0"/>
            <w:b w:val="0"/>
            <w:bCs w:val="0"/>
          </w:rPr>
          <w:t>муниципальной программе</w:t>
        </w:r>
      </w:hyperlink>
    </w:p>
    <w:p w:rsidR="008F0BED" w:rsidRDefault="008F0BED" w:rsidP="00AC0E40">
      <w:pPr>
        <w:ind w:firstLine="698"/>
        <w:jc w:val="right"/>
        <w:rPr>
          <w:rStyle w:val="a"/>
          <w:b w:val="0"/>
          <w:bCs w:val="0"/>
        </w:rPr>
      </w:pPr>
      <w:r>
        <w:rPr>
          <w:rStyle w:val="a"/>
          <w:b w:val="0"/>
          <w:bCs w:val="0"/>
        </w:rPr>
        <w:t xml:space="preserve">«Развитие образования на территории </w:t>
      </w:r>
    </w:p>
    <w:p w:rsidR="008F0BED" w:rsidRDefault="008F0BED" w:rsidP="00AC0E40">
      <w:pPr>
        <w:ind w:firstLine="698"/>
        <w:jc w:val="right"/>
      </w:pPr>
      <w:r>
        <w:rPr>
          <w:rStyle w:val="a"/>
          <w:b w:val="0"/>
          <w:bCs w:val="0"/>
        </w:rPr>
        <w:t xml:space="preserve">муниципального образования Ясненский </w:t>
      </w:r>
    </w:p>
    <w:p w:rsidR="008F0BED" w:rsidRDefault="008F0BED" w:rsidP="00AC0E40">
      <w:pPr>
        <w:ind w:firstLine="698"/>
        <w:jc w:val="right"/>
        <w:rPr>
          <w:rStyle w:val="a"/>
          <w:b w:val="0"/>
          <w:bCs w:val="0"/>
        </w:rPr>
      </w:pPr>
      <w:r>
        <w:rPr>
          <w:rStyle w:val="a"/>
          <w:b w:val="0"/>
          <w:bCs w:val="0"/>
        </w:rPr>
        <w:t>район на 2015 - 2020 годы</w:t>
      </w: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Подпрограмма</w:t>
      </w:r>
      <w:r w:rsidRPr="00AC0E40">
        <w:rPr>
          <w:b/>
          <w:bCs/>
          <w:color w:val="auto"/>
          <w:sz w:val="36"/>
          <w:szCs w:val="36"/>
        </w:rPr>
        <w:t xml:space="preserve"> </w:t>
      </w:r>
    </w:p>
    <w:p w:rsidR="008F0BED" w:rsidRPr="00AC0E40" w:rsidRDefault="008F0BED" w:rsidP="00AC0E40">
      <w:pPr>
        <w:jc w:val="center"/>
        <w:rPr>
          <w:b/>
          <w:bCs/>
          <w:color w:val="auto"/>
          <w:sz w:val="36"/>
          <w:szCs w:val="36"/>
        </w:rPr>
      </w:pPr>
      <w:r w:rsidRPr="00AC0E40">
        <w:rPr>
          <w:b/>
          <w:bCs/>
          <w:color w:val="auto"/>
          <w:sz w:val="36"/>
          <w:szCs w:val="36"/>
        </w:rPr>
        <w:t>«Развитие дополнительного образования детей»</w:t>
      </w:r>
    </w:p>
    <w:p w:rsidR="008F0BED" w:rsidRDefault="008F0BED" w:rsidP="00AC0E40">
      <w:pPr>
        <w:jc w:val="center"/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rPr>
          <w:b/>
          <w:bCs/>
          <w:color w:val="auto"/>
          <w:sz w:val="24"/>
          <w:szCs w:val="24"/>
        </w:rPr>
      </w:pPr>
    </w:p>
    <w:p w:rsidR="008F0BED" w:rsidRDefault="008F0BED" w:rsidP="00AC0E40">
      <w:pPr>
        <w:jc w:val="center"/>
      </w:pPr>
      <w:r w:rsidRPr="00ED0DC8">
        <w:rPr>
          <w:color w:val="auto"/>
        </w:rPr>
        <w:t>ПАСПОРТ</w:t>
      </w:r>
    </w:p>
    <w:p w:rsidR="008F0BED" w:rsidRDefault="008F0BED" w:rsidP="001B0AF5">
      <w:pPr>
        <w:jc w:val="center"/>
        <w:rPr>
          <w:color w:val="auto"/>
        </w:rPr>
      </w:pPr>
      <w:r w:rsidRPr="00ED0DC8">
        <w:rPr>
          <w:color w:val="auto"/>
        </w:rPr>
        <w:t xml:space="preserve">подпрограммы «Развитие дополнительного образования детей» муниципальной программы «Развитие образования </w:t>
      </w:r>
      <w:r>
        <w:rPr>
          <w:color w:val="auto"/>
        </w:rPr>
        <w:t xml:space="preserve">на территории муниципального образования </w:t>
      </w:r>
      <w:r w:rsidRPr="00ED0DC8">
        <w:rPr>
          <w:color w:val="auto"/>
        </w:rPr>
        <w:t>Ясненский район</w:t>
      </w:r>
      <w:r>
        <w:rPr>
          <w:color w:val="auto"/>
        </w:rPr>
        <w:t xml:space="preserve"> на 2015–2020 годы»</w:t>
      </w:r>
    </w:p>
    <w:p w:rsidR="008F0BED" w:rsidRPr="00ED0DC8" w:rsidRDefault="008F0BED" w:rsidP="001B0AF5">
      <w:pPr>
        <w:jc w:val="center"/>
        <w:rPr>
          <w:color w:val="auto"/>
        </w:rPr>
      </w:pPr>
      <w:r w:rsidRPr="00ED0DC8">
        <w:rPr>
          <w:color w:val="auto"/>
        </w:rPr>
        <w:t>(далее – Подпрограмма</w:t>
      </w:r>
      <w:r>
        <w:rPr>
          <w:color w:val="auto"/>
        </w:rPr>
        <w:t xml:space="preserve"> № 3</w:t>
      </w:r>
      <w:r w:rsidRPr="00ED0DC8">
        <w:rPr>
          <w:color w:val="auto"/>
        </w:rPr>
        <w:t>)</w:t>
      </w:r>
    </w:p>
    <w:p w:rsidR="008F0BED" w:rsidRDefault="008F0BED" w:rsidP="001B0AF5">
      <w:pPr>
        <w:rPr>
          <w:color w:val="auto"/>
        </w:rPr>
      </w:pPr>
    </w:p>
    <w:tbl>
      <w:tblPr>
        <w:tblW w:w="9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600"/>
      </w:tblGrid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006C31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Ясненский район Оренбургской области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2E2B2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"/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Default="008F0BED" w:rsidP="00805302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учреждения дополнительного образования детей (далее - УДОд), </w:t>
            </w:r>
          </w:p>
          <w:p w:rsidR="008F0BED" w:rsidRDefault="008F0BED" w:rsidP="002038F4">
            <w:pPr>
              <w:pStyle w:val="a2"/>
              <w:jc w:val="both"/>
              <w:rPr>
                <w:rFonts w:cs="Times New Roman"/>
              </w:rPr>
            </w:pPr>
            <w:r w:rsidRPr="00006C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06C31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по обслуживанию учреждений образования (далее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06C31">
              <w:rPr>
                <w:rFonts w:ascii="Times New Roman" w:hAnsi="Times New Roman" w:cs="Times New Roman"/>
                <w:sz w:val="28"/>
                <w:szCs w:val="28"/>
              </w:rPr>
              <w:t>ЦБ УО)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90451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FA38A7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3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качества, доступности и эффективности дополнительного образования детей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8B7AD5" w:rsidRDefault="008F0BED" w:rsidP="008B7AD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дополнительного образования в учрежден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иях дополнительного образования;</w:t>
            </w:r>
          </w:p>
          <w:p w:rsidR="008F0BED" w:rsidRPr="008B7AD5" w:rsidRDefault="008F0BED" w:rsidP="008B7AD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системы внеурочной занятости детей и подростков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их интересами и способностями;</w:t>
            </w:r>
          </w:p>
          <w:p w:rsidR="008F0BED" w:rsidRPr="002E2B2F" w:rsidRDefault="008F0BED" w:rsidP="008B7AD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Ф</w:t>
            </w:r>
            <w:r w:rsidRPr="002E2B2F">
              <w:rPr>
                <w:color w:val="auto"/>
              </w:rPr>
              <w:t xml:space="preserve">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 </w:t>
            </w:r>
          </w:p>
          <w:p w:rsidR="008F0BED" w:rsidRPr="002E2B2F" w:rsidRDefault="008F0BED" w:rsidP="008B7AD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2E2B2F">
              <w:rPr>
                <w:color w:val="auto"/>
              </w:rPr>
              <w:t>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8F0BED" w:rsidRPr="002E2B2F" w:rsidRDefault="008F0BED" w:rsidP="002E2B2F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жизни.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44766D" w:rsidRDefault="008F0BED" w:rsidP="007B2906">
            <w:pPr>
              <w:pStyle w:val="a2"/>
              <w:rPr>
                <w:rFonts w:cs="Times New Roman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2E2B2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2E2B2F">
              <w:rPr>
                <w:color w:val="auto"/>
              </w:rPr>
              <w:t xml:space="preserve">дельный вес численности детей, получающих услуги дополнительного образования, в общей численности детей в возрасте 5–18 лет; </w:t>
            </w:r>
          </w:p>
          <w:p w:rsidR="008F0BED" w:rsidRDefault="008F0BED" w:rsidP="008B7AD5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2E2B2F">
              <w:rPr>
                <w:color w:val="auto"/>
              </w:rPr>
              <w:t>дельный вес численности педагогов ДО в возрасте до 3</w:t>
            </w:r>
            <w:r>
              <w:rPr>
                <w:color w:val="auto"/>
              </w:rPr>
              <w:t>5</w:t>
            </w:r>
            <w:r w:rsidRPr="002E2B2F">
              <w:rPr>
                <w:color w:val="auto"/>
              </w:rPr>
              <w:t xml:space="preserve"> лет в общей численности педагогов организаций допобразования;</w:t>
            </w:r>
          </w:p>
          <w:p w:rsidR="008F0BED" w:rsidRPr="008B7AD5" w:rsidRDefault="008F0BED" w:rsidP="008B7AD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педагогов, имеющих высшее образование, в общей численности педагогических работников;</w:t>
            </w:r>
          </w:p>
          <w:p w:rsidR="008F0BED" w:rsidRPr="008B7AD5" w:rsidRDefault="008F0BED" w:rsidP="008B7AD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педагогов, имеющих I и высшую квалификационные категории, в общей численности педагогических работников;</w:t>
            </w:r>
          </w:p>
          <w:p w:rsidR="008F0BED" w:rsidRPr="0044766D" w:rsidRDefault="008F0BED" w:rsidP="008B7AD5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вес численности руководителей организаций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</w:t>
            </w:r>
            <w:r w:rsidRPr="0044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BED" w:rsidRPr="002E2B2F" w:rsidRDefault="008F0BED" w:rsidP="002E2B2F">
            <w:pPr>
              <w:pStyle w:val="a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6D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организациях дополнительного образования к средней заработной плате в общем образовании района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7B2906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2015–2020 годы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9"/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за счет средств районного бюджета (тыс. руб.) с разбивкой по годам</w:t>
            </w:r>
            <w:bookmarkEnd w:id="2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2E2B2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2E2B2F">
              <w:rPr>
                <w:color w:val="auto"/>
              </w:rPr>
              <w:t>бъем финансового обеспечения мероприятий Подпрограммы</w:t>
            </w:r>
            <w:r>
              <w:rPr>
                <w:color w:val="auto"/>
              </w:rPr>
              <w:t xml:space="preserve"> № 3</w:t>
            </w:r>
            <w:r w:rsidRPr="002E2B2F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составляет</w:t>
            </w:r>
            <w:r w:rsidRPr="002E2B2F">
              <w:rPr>
                <w:color w:val="auto"/>
              </w:rPr>
              <w:t xml:space="preserve"> </w:t>
            </w:r>
            <w:r>
              <w:rPr>
                <w:color w:val="auto"/>
              </w:rPr>
              <w:t>– 53 754,1 тыс. руб.</w:t>
            </w:r>
            <w:r w:rsidRPr="002E2B2F">
              <w:rPr>
                <w:color w:val="auto"/>
              </w:rPr>
              <w:t>, в том числе по годам реализации:</w:t>
            </w:r>
          </w:p>
          <w:p w:rsidR="008F0BED" w:rsidRPr="002E2B2F" w:rsidRDefault="008F0BED" w:rsidP="002E2B2F">
            <w:pPr>
              <w:rPr>
                <w:color w:val="auto"/>
              </w:rPr>
            </w:pPr>
            <w:r>
              <w:rPr>
                <w:color w:val="auto"/>
              </w:rPr>
              <w:t>- 2015 год – 5 106,9 тыс. руб.</w:t>
            </w:r>
            <w:r w:rsidRPr="002E2B2F">
              <w:rPr>
                <w:color w:val="auto"/>
              </w:rPr>
              <w:t>;</w:t>
            </w:r>
          </w:p>
          <w:p w:rsidR="008F0BED" w:rsidRPr="002E2B2F" w:rsidRDefault="008F0BED" w:rsidP="002E2B2F">
            <w:pPr>
              <w:rPr>
                <w:color w:val="auto"/>
              </w:rPr>
            </w:pPr>
            <w:r>
              <w:rPr>
                <w:color w:val="auto"/>
              </w:rPr>
              <w:t>- 2016 год – 5 617,6 тыс. руб.</w:t>
            </w:r>
            <w:r w:rsidRPr="002E2B2F">
              <w:rPr>
                <w:color w:val="auto"/>
              </w:rPr>
              <w:t>;</w:t>
            </w:r>
          </w:p>
          <w:p w:rsidR="008F0BED" w:rsidRPr="002E2B2F" w:rsidRDefault="008F0BED" w:rsidP="002E2B2F">
            <w:pPr>
              <w:rPr>
                <w:color w:val="auto"/>
              </w:rPr>
            </w:pPr>
            <w:r>
              <w:rPr>
                <w:color w:val="auto"/>
              </w:rPr>
              <w:t>- 2017 год – 4 902,6 тыс. руб.</w:t>
            </w:r>
            <w:r w:rsidRPr="002E2B2F">
              <w:rPr>
                <w:color w:val="auto"/>
              </w:rPr>
              <w:t>;</w:t>
            </w:r>
          </w:p>
          <w:p w:rsidR="008F0BED" w:rsidRPr="002E2B2F" w:rsidRDefault="008F0BED" w:rsidP="002E2B2F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E2B2F">
              <w:rPr>
                <w:color w:val="auto"/>
              </w:rPr>
              <w:t>2018 год – 12</w:t>
            </w:r>
            <w:r>
              <w:rPr>
                <w:color w:val="auto"/>
              </w:rPr>
              <w:t xml:space="preserve"> 629,9  тыс. руб.</w:t>
            </w:r>
            <w:r w:rsidRPr="002E2B2F">
              <w:rPr>
                <w:color w:val="auto"/>
              </w:rPr>
              <w:t>;</w:t>
            </w:r>
          </w:p>
          <w:p w:rsidR="008F0BED" w:rsidRPr="002E2B2F" w:rsidRDefault="008F0BED" w:rsidP="002E2B2F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E2B2F">
              <w:rPr>
                <w:color w:val="auto"/>
              </w:rPr>
              <w:t>2019 год – 12</w:t>
            </w:r>
            <w:r>
              <w:rPr>
                <w:color w:val="auto"/>
              </w:rPr>
              <w:t xml:space="preserve"> 641,2 тыс. руб.</w:t>
            </w:r>
            <w:r w:rsidRPr="002E2B2F">
              <w:rPr>
                <w:color w:val="auto"/>
              </w:rPr>
              <w:t>;</w:t>
            </w:r>
          </w:p>
          <w:p w:rsidR="008F0BED" w:rsidRPr="002E2B2F" w:rsidRDefault="008F0BED" w:rsidP="002E2B2F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год – 12 855,9 тыс. руб</w:t>
            </w: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BED" w:rsidRPr="002E2B2F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E2B2F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за счет иных средств (тыс. руб.) с разбивкой по годам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2E2B2F" w:rsidRDefault="008F0BED" w:rsidP="0090451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F0BED" w:rsidRPr="00ED0DC8" w:rsidRDefault="008F0BED" w:rsidP="001B0AF5">
      <w:pPr>
        <w:rPr>
          <w:color w:val="auto"/>
        </w:rPr>
      </w:pPr>
    </w:p>
    <w:p w:rsidR="008F0BED" w:rsidRDefault="008F0BED" w:rsidP="00DD6C68">
      <w:pPr>
        <w:jc w:val="center"/>
        <w:rPr>
          <w:b/>
          <w:bCs/>
          <w:color w:val="auto"/>
        </w:rPr>
        <w:sectPr w:rsidR="008F0BED" w:rsidSect="00A10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BED" w:rsidRPr="00ED0DC8" w:rsidRDefault="008F0BED" w:rsidP="00DD6C68">
      <w:pPr>
        <w:jc w:val="center"/>
        <w:rPr>
          <w:b/>
          <w:bCs/>
          <w:color w:val="auto"/>
        </w:rPr>
      </w:pPr>
      <w:r w:rsidRPr="00ED0DC8">
        <w:rPr>
          <w:b/>
          <w:bCs/>
          <w:color w:val="auto"/>
        </w:rPr>
        <w:t>1. Характеристика сферы реализации Подпрограммы</w:t>
      </w:r>
      <w:r>
        <w:rPr>
          <w:b/>
          <w:bCs/>
          <w:color w:val="auto"/>
        </w:rPr>
        <w:t xml:space="preserve"> № 3</w:t>
      </w:r>
      <w:r w:rsidRPr="00ED0DC8">
        <w:rPr>
          <w:b/>
          <w:bCs/>
          <w:color w:val="auto"/>
        </w:rPr>
        <w:t>, описание основных проблем в указанной сфере и прогноз ее развития</w:t>
      </w:r>
    </w:p>
    <w:p w:rsidR="008F0BED" w:rsidRPr="00ED0DC8" w:rsidRDefault="008F0BED" w:rsidP="00DD6C68">
      <w:pPr>
        <w:ind w:firstLine="709"/>
        <w:jc w:val="both"/>
        <w:rPr>
          <w:color w:val="auto"/>
        </w:rPr>
      </w:pPr>
    </w:p>
    <w:p w:rsidR="008F0BED" w:rsidRPr="00ED0DC8" w:rsidRDefault="008F0BED" w:rsidP="00AF434E">
      <w:pPr>
        <w:ind w:firstLine="709"/>
        <w:jc w:val="both"/>
        <w:rPr>
          <w:color w:val="auto"/>
        </w:rPr>
      </w:pPr>
      <w:r w:rsidRPr="00ED0DC8">
        <w:rPr>
          <w:color w:val="auto"/>
        </w:rPr>
        <w:t>Дополнительное образование детей в настоящее время призвано играть существенную роль в воспитании разносторонней личности, в ее образовании и профессиональной ориентации.</w:t>
      </w:r>
    </w:p>
    <w:p w:rsidR="008F0BED" w:rsidRPr="00ED0DC8" w:rsidRDefault="008F0BED" w:rsidP="00685503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Определяющее влияние на развитие дополнительного образования оказывают демографические тенденции. Следствием спада рождаемости и уменьшения численности детей в 90-е годы 20 века стало сокращение числа дошкольных и общеобразовательных организаций, и реорганизация системы дополнительного образования. С 2000 года рост показателей рождаемости обусловил рост численности детей. </w:t>
      </w:r>
    </w:p>
    <w:p w:rsidR="008F0BED" w:rsidRPr="00ED0DC8" w:rsidRDefault="008F0BED" w:rsidP="00AF434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системе образования района на 01.01.2014 г. осуществляет свою деятельность 1 организация дополнительного образования детей (МОБУ ДОД «ДЮЦ»), представляющая возможность для 1 501 ребенка заниматься техническим и художественным творчеством, туристско-краеведческой и эколого-биологической деятельностью, физкультурой и спортом. Всего 83 объединения различной направленности, что ниже прошлого года на 3 объединения.</w:t>
      </w:r>
    </w:p>
    <w:p w:rsidR="008F0BED" w:rsidRPr="00ED0DC8" w:rsidRDefault="008F0BED" w:rsidP="00685503">
      <w:pPr>
        <w:jc w:val="center"/>
        <w:rPr>
          <w:color w:val="auto"/>
        </w:rPr>
      </w:pPr>
      <w:r w:rsidRPr="00AC0BA0">
        <w:rPr>
          <w:noProof/>
          <w:color w:val="auto"/>
          <w:lang w:eastAsia="ru-RU"/>
        </w:rPr>
        <w:object w:dxaOrig="8977" w:dyaOrig="3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5.75pt;height:174pt;visibility:visible" o:ole="">
            <v:imagedata r:id="rId5" o:title=""/>
            <o:lock v:ext="edit" aspectratio="f"/>
          </v:shape>
          <o:OLEObject Type="Embed" ProgID="Excel.Sheet.8" ShapeID="Диаграмма 1" DrawAspect="Content" ObjectID="_1488952679" r:id="rId6"/>
        </w:object>
      </w:r>
    </w:p>
    <w:p w:rsidR="008F0BED" w:rsidRPr="00ED0DC8" w:rsidRDefault="008F0BED" w:rsidP="004F2EBD">
      <w:pPr>
        <w:jc w:val="both"/>
        <w:rPr>
          <w:color w:val="auto"/>
          <w:sz w:val="16"/>
          <w:szCs w:val="16"/>
        </w:rPr>
      </w:pP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Среди учащихся МОБУ ДОД ДЮЦ основную группу составляют дети в возрасте 5-9 лет (35,3 %) и 10-14 лет (46,1 %).</w:t>
      </w:r>
    </w:p>
    <w:p w:rsidR="008F0BED" w:rsidRPr="00ED0DC8" w:rsidRDefault="008F0BED" w:rsidP="004F2EBD">
      <w:pPr>
        <w:jc w:val="both"/>
        <w:rPr>
          <w:color w:val="auto"/>
        </w:rPr>
      </w:pPr>
      <w:r w:rsidRPr="00AC0BA0">
        <w:rPr>
          <w:noProof/>
          <w:color w:val="auto"/>
          <w:lang w:eastAsia="ru-RU"/>
        </w:rPr>
        <w:object w:dxaOrig="9140" w:dyaOrig="3869">
          <v:shape id="Диаграмма 2" o:spid="_x0000_i1026" type="#_x0000_t75" style="width:447.75pt;height:193.5pt;visibility:visible" o:ole="">
            <v:imagedata r:id="rId7" o:title=""/>
            <o:lock v:ext="edit" aspectratio="f"/>
          </v:shape>
          <o:OLEObject Type="Embed" ProgID="Excel.Sheet.8" ShapeID="Диаграмма 2" DrawAspect="Content" ObjectID="_1488952680" r:id="rId8"/>
        </w:objec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>43,3% детей, охваченных образовательными программами дополнительного образования детей в ДЮЦ, в общей численности детей и молодежи в возрасте 5-18 лет.</w:t>
      </w:r>
    </w:p>
    <w:p w:rsidR="008F0BED" w:rsidRPr="00ED0DC8" w:rsidRDefault="008F0BED" w:rsidP="007D3725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Сравнивая количество обучающихся, можно отметить его увеличение:  на 1 сентября 2011 года численность детей составляла 1 432 человека; на 1 сентября 2012 года – 1504 человека; 1 сентября 2013 года – 1508 человек.</w:t>
      </w:r>
    </w:p>
    <w:p w:rsidR="008F0BED" w:rsidRPr="00ED0DC8" w:rsidRDefault="008F0BED" w:rsidP="007D3725">
      <w:pPr>
        <w:ind w:firstLine="709"/>
        <w:jc w:val="both"/>
        <w:rPr>
          <w:color w:val="auto"/>
          <w:sz w:val="6"/>
          <w:szCs w:val="6"/>
        </w:rPr>
      </w:pPr>
    </w:p>
    <w:p w:rsidR="008F0BED" w:rsidRPr="00ED0DC8" w:rsidRDefault="008F0BED" w:rsidP="007D3725">
      <w:pPr>
        <w:tabs>
          <w:tab w:val="left" w:pos="142"/>
        </w:tabs>
        <w:jc w:val="both"/>
        <w:rPr>
          <w:color w:val="auto"/>
        </w:rPr>
      </w:pPr>
      <w:r w:rsidRPr="00AC0BA0">
        <w:rPr>
          <w:noProof/>
          <w:color w:val="auto"/>
          <w:lang w:eastAsia="ru-RU"/>
        </w:rPr>
        <w:object w:dxaOrig="9332" w:dyaOrig="4570">
          <v:shape id="Диаграмма 73" o:spid="_x0000_i1027" type="#_x0000_t75" style="width:462pt;height:228.75pt;visibility:visible" o:ole="">
            <v:imagedata r:id="rId9" o:title=""/>
            <o:lock v:ext="edit" aspectratio="f"/>
          </v:shape>
          <o:OLEObject Type="Embed" ProgID="Excel.Sheet.8" ShapeID="Диаграмма 73" DrawAspect="Content" ObjectID="_1488952681" r:id="rId10"/>
        </w:object>
      </w:r>
    </w:p>
    <w:p w:rsidR="008F0BED" w:rsidRPr="00ED0DC8" w:rsidRDefault="008F0BED" w:rsidP="007D3725">
      <w:pPr>
        <w:jc w:val="both"/>
        <w:rPr>
          <w:color w:val="auto"/>
          <w:sz w:val="6"/>
          <w:szCs w:val="6"/>
        </w:rPr>
      </w:pPr>
    </w:p>
    <w:p w:rsidR="008F0BED" w:rsidRPr="00ED0DC8" w:rsidRDefault="008F0BED" w:rsidP="007D3725">
      <w:pPr>
        <w:ind w:firstLine="709"/>
        <w:jc w:val="both"/>
        <w:rPr>
          <w:color w:val="auto"/>
        </w:rPr>
      </w:pPr>
      <w:r w:rsidRPr="00ED0DC8">
        <w:rPr>
          <w:color w:val="auto"/>
        </w:rPr>
        <w:t>Однако, в сельских образовательных учреждениях ситуация складывается иначе, нежели с общей численностью детей: в период с 2011 по 2013 год отмечается уменьшение количества обучающихся, что связано с уменьшением числа обучающихся в сельских школах:</w:t>
      </w:r>
    </w:p>
    <w:p w:rsidR="008F0BED" w:rsidRPr="00ED0DC8" w:rsidRDefault="008F0BED" w:rsidP="007D3725">
      <w:pPr>
        <w:ind w:firstLine="709"/>
        <w:jc w:val="both"/>
        <w:rPr>
          <w:color w:val="auto"/>
        </w:rPr>
      </w:pPr>
      <w:r w:rsidRPr="00ED0DC8">
        <w:rPr>
          <w:color w:val="auto"/>
        </w:rPr>
        <w:t>2011-2012 г.г. – 638 человек</w:t>
      </w:r>
    </w:p>
    <w:p w:rsidR="008F0BED" w:rsidRPr="00ED0DC8" w:rsidRDefault="008F0BED" w:rsidP="007D3725">
      <w:pPr>
        <w:ind w:firstLine="709"/>
        <w:jc w:val="both"/>
        <w:rPr>
          <w:color w:val="auto"/>
        </w:rPr>
      </w:pPr>
      <w:r w:rsidRPr="00ED0DC8">
        <w:rPr>
          <w:color w:val="auto"/>
        </w:rPr>
        <w:t>2012-2013 г.г. – 566 человек</w:t>
      </w:r>
    </w:p>
    <w:p w:rsidR="008F0BED" w:rsidRPr="00ED0DC8" w:rsidRDefault="008F0BED" w:rsidP="007D3725">
      <w:pPr>
        <w:ind w:firstLine="709"/>
        <w:jc w:val="both"/>
        <w:rPr>
          <w:color w:val="auto"/>
        </w:rPr>
      </w:pPr>
      <w:r w:rsidRPr="00ED0DC8">
        <w:rPr>
          <w:color w:val="auto"/>
        </w:rPr>
        <w:t>2013-2014 г.г. – 560 человек</w:t>
      </w:r>
    </w:p>
    <w:p w:rsidR="008F0BED" w:rsidRPr="00ED0DC8" w:rsidRDefault="008F0BED" w:rsidP="007D3725">
      <w:pPr>
        <w:jc w:val="center"/>
        <w:rPr>
          <w:color w:val="auto"/>
        </w:rPr>
      </w:pPr>
      <w:r w:rsidRPr="00AC0BA0">
        <w:rPr>
          <w:noProof/>
          <w:color w:val="auto"/>
          <w:lang w:eastAsia="ru-RU"/>
        </w:rPr>
        <w:object w:dxaOrig="9313" w:dyaOrig="4042">
          <v:shape id="Диаграмма 77" o:spid="_x0000_i1028" type="#_x0000_t75" style="width:465.75pt;height:200.25pt;visibility:visible" o:ole="">
            <v:imagedata r:id="rId11" o:title=""/>
            <o:lock v:ext="edit" aspectratio="f"/>
          </v:shape>
          <o:OLEObject Type="Embed" ProgID="Excel.Sheet.8" ShapeID="Диаграмма 77" DrawAspect="Content" ObjectID="_1488952682" r:id="rId12"/>
        </w:objec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>Образовательная деятельность осуществляется по пяти направленностям: научно-техническая, художественно-эстетическая, физкультурно-спортивная, эколого-биологическая, туристско-краеведческая.</w:t>
      </w:r>
    </w:p>
    <w:p w:rsidR="008F0BED" w:rsidRPr="00ED0DC8" w:rsidRDefault="008F0BED" w:rsidP="00383481">
      <w:pPr>
        <w:ind w:firstLine="709"/>
        <w:jc w:val="both"/>
        <w:rPr>
          <w:color w:val="auto"/>
        </w:rPr>
      </w:pPr>
      <w:r w:rsidRPr="00ED0DC8">
        <w:rPr>
          <w:color w:val="auto"/>
        </w:rPr>
        <w:t>Приоритетным направлением воспитательного процесса МОБУ ДОД ДЮЦ является патриотическое воспитание подрастающего поколения. Организована работа 17 объединений (20% от общего числа объединений) с охватом 226 человек (16% от общего числа учащихся – 1501), действует 2 кадетских класса с общей численностью 73 человека.</w:t>
      </w:r>
    </w:p>
    <w:p w:rsidR="008F0BED" w:rsidRPr="00ED0DC8" w:rsidRDefault="008F0BED" w:rsidP="00383481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системе дополнительного образования действует 16 спортивных и туристско-краеведческих объединений (19% от общего числа) с охватом 236 детей (17%).</w:t>
      </w:r>
    </w:p>
    <w:p w:rsidR="008F0BED" w:rsidRPr="00ED0DC8" w:rsidRDefault="008F0BED" w:rsidP="00383481">
      <w:pPr>
        <w:jc w:val="both"/>
        <w:rPr>
          <w:color w:val="auto"/>
        </w:rPr>
      </w:pPr>
      <w:r w:rsidRPr="00AC0BA0">
        <w:rPr>
          <w:noProof/>
          <w:color w:val="auto"/>
          <w:lang w:eastAsia="ru-RU"/>
        </w:rPr>
        <w:object w:dxaOrig="9361" w:dyaOrig="5453">
          <v:shape id="Диаграмма 3" o:spid="_x0000_i1029" type="#_x0000_t75" style="width:468pt;height:273pt;visibility:visible" o:ole="">
            <v:imagedata r:id="rId13" o:title=""/>
            <o:lock v:ext="edit" aspectratio="f"/>
          </v:shape>
          <o:OLEObject Type="Embed" ProgID="Excel.Sheet.8" ShapeID="Диаграмма 3" DrawAspect="Content" ObjectID="_1488952683" r:id="rId14"/>
        </w:object>
      </w:r>
    </w:p>
    <w:p w:rsidR="008F0BED" w:rsidRPr="00ED0DC8" w:rsidRDefault="008F0BED" w:rsidP="00383481">
      <w:pPr>
        <w:ind w:firstLine="709"/>
        <w:jc w:val="both"/>
        <w:rPr>
          <w:color w:val="auto"/>
          <w:sz w:val="16"/>
          <w:szCs w:val="16"/>
        </w:rPr>
      </w:pP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>Доля детей, охваченных образовательными программами дополнительного образования детей с учетом детей, посещающих спортивную школу «Асбест» и МОБУ ДОД «ДШИ», в общей численности детей и молодежи в возрасте 5-18 лет составляет 61,7%, что значительно меньше показателя «дорожной карты», которая гласит об охвате дополнительным образованием 95 % детей и молодежи в возрасте 5-18 лет.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>Определяющее значение для организации дополнительного образования имеет кадровый состав педагогов. Численность педагогических работников дополнительного образования детей в настоящее время составляет: 69 педагогов дополнительного образования, в том числе 44 совместителя. Качественные показатели педагогиче</w:t>
      </w:r>
      <w:r>
        <w:rPr>
          <w:color w:val="auto"/>
        </w:rPr>
        <w:t>ских работников МОБУ ДОД «Д</w:t>
      </w:r>
      <w:r w:rsidRPr="00ED0DC8">
        <w:rPr>
          <w:color w:val="auto"/>
        </w:rPr>
        <w:t xml:space="preserve">ЮЦ» (вместе с совместителями) составляют: 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>
        <w:rPr>
          <w:color w:val="auto"/>
        </w:rPr>
        <w:t xml:space="preserve">69 </w:t>
      </w:r>
      <w:r w:rsidRPr="00ED0DC8">
        <w:rPr>
          <w:color w:val="auto"/>
        </w:rPr>
        <w:t xml:space="preserve">% педагогических работников имеют высшее образование, 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12% - высшую квалификационную категорию, 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33% - первую, 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42,4% работников заняты в организации дополнительного образования детей более 20 лет, </w:t>
      </w:r>
    </w:p>
    <w:p w:rsidR="008F0BED" w:rsidRPr="00ED0DC8" w:rsidRDefault="008F0BED" w:rsidP="004F2EBD">
      <w:pPr>
        <w:ind w:firstLine="709"/>
        <w:jc w:val="both"/>
        <w:rPr>
          <w:color w:val="auto"/>
        </w:rPr>
      </w:pPr>
      <w:r>
        <w:rPr>
          <w:color w:val="auto"/>
        </w:rPr>
        <w:t>29</w:t>
      </w:r>
      <w:r w:rsidRPr="00ED0DC8">
        <w:rPr>
          <w:color w:val="auto"/>
        </w:rPr>
        <w:t>% молодых педагогов в возрасте до 35 лет.</w:t>
      </w:r>
    </w:p>
    <w:p w:rsidR="008F0BED" w:rsidRPr="00ED0DC8" w:rsidRDefault="008F0BED" w:rsidP="004F2EBD">
      <w:pPr>
        <w:ind w:firstLine="709"/>
        <w:jc w:val="both"/>
        <w:rPr>
          <w:color w:val="auto"/>
          <w:sz w:val="16"/>
          <w:szCs w:val="16"/>
        </w:rPr>
      </w:pPr>
    </w:p>
    <w:p w:rsidR="008F0BED" w:rsidRPr="00ED0DC8" w:rsidRDefault="008F0BED" w:rsidP="00FA1E0B">
      <w:pPr>
        <w:tabs>
          <w:tab w:val="left" w:pos="284"/>
          <w:tab w:val="left" w:pos="900"/>
          <w:tab w:val="left" w:pos="1080"/>
        </w:tabs>
        <w:ind w:firstLine="709"/>
        <w:jc w:val="center"/>
        <w:rPr>
          <w:b/>
          <w:bCs/>
          <w:noProof/>
          <w:color w:val="auto"/>
          <w:sz w:val="24"/>
          <w:szCs w:val="24"/>
        </w:rPr>
      </w:pPr>
      <w:r w:rsidRPr="00ED0DC8">
        <w:rPr>
          <w:b/>
          <w:bCs/>
          <w:noProof/>
          <w:color w:val="auto"/>
          <w:sz w:val="24"/>
          <w:szCs w:val="24"/>
        </w:rPr>
        <w:t>Сравнительный анализ педагогических кадров основных работников МОБУ ДОД «ДЮЦ» по образованию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543"/>
        <w:gridCol w:w="3323"/>
      </w:tblGrid>
      <w:tr w:rsidR="008F0BED" w:rsidRPr="00AC0BA0">
        <w:tc>
          <w:tcPr>
            <w:tcW w:w="2802" w:type="dxa"/>
            <w:tcBorders>
              <w:tl2br w:val="single" w:sz="4" w:space="0" w:color="auto"/>
            </w:tcBorders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 xml:space="preserve">              Образование</w:t>
            </w:r>
          </w:p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 xml:space="preserve">Период  </w:t>
            </w:r>
          </w:p>
        </w:tc>
        <w:tc>
          <w:tcPr>
            <w:tcW w:w="354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32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Среднее педагогическое образование</w:t>
            </w:r>
          </w:p>
        </w:tc>
      </w:tr>
      <w:tr w:rsidR="008F0BED" w:rsidRPr="00AC0BA0">
        <w:tc>
          <w:tcPr>
            <w:tcW w:w="280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354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43,7%</w:t>
            </w:r>
          </w:p>
        </w:tc>
        <w:tc>
          <w:tcPr>
            <w:tcW w:w="332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13,7%</w:t>
            </w:r>
          </w:p>
        </w:tc>
      </w:tr>
      <w:tr w:rsidR="008F0BED" w:rsidRPr="00AC0BA0">
        <w:tc>
          <w:tcPr>
            <w:tcW w:w="280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354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50,44%</w:t>
            </w:r>
          </w:p>
        </w:tc>
        <w:tc>
          <w:tcPr>
            <w:tcW w:w="332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14,5%</w:t>
            </w:r>
          </w:p>
        </w:tc>
      </w:tr>
      <w:tr w:rsidR="008F0BED" w:rsidRPr="00AC0BA0">
        <w:tc>
          <w:tcPr>
            <w:tcW w:w="280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354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36,34%</w:t>
            </w:r>
          </w:p>
        </w:tc>
        <w:tc>
          <w:tcPr>
            <w:tcW w:w="332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7,9%</w:t>
            </w:r>
          </w:p>
        </w:tc>
      </w:tr>
    </w:tbl>
    <w:p w:rsidR="008F0BED" w:rsidRPr="00ED0DC8" w:rsidRDefault="008F0BED" w:rsidP="00FA1E0B">
      <w:pPr>
        <w:tabs>
          <w:tab w:val="left" w:pos="284"/>
          <w:tab w:val="left" w:pos="900"/>
          <w:tab w:val="left" w:pos="1080"/>
        </w:tabs>
        <w:ind w:firstLine="709"/>
        <w:jc w:val="both"/>
        <w:rPr>
          <w:noProof/>
          <w:color w:val="auto"/>
          <w:sz w:val="16"/>
          <w:szCs w:val="16"/>
        </w:rPr>
      </w:pPr>
    </w:p>
    <w:p w:rsidR="008F0BED" w:rsidRPr="00ED0DC8" w:rsidRDefault="008F0BED" w:rsidP="00FA1E0B">
      <w:pPr>
        <w:tabs>
          <w:tab w:val="left" w:pos="284"/>
          <w:tab w:val="left" w:pos="900"/>
          <w:tab w:val="left" w:pos="1080"/>
        </w:tabs>
        <w:ind w:firstLine="709"/>
        <w:jc w:val="center"/>
        <w:rPr>
          <w:color w:val="auto"/>
        </w:rPr>
      </w:pPr>
      <w:r w:rsidRPr="00AC0BA0">
        <w:rPr>
          <w:noProof/>
          <w:color w:val="auto"/>
          <w:lang w:eastAsia="ru-RU"/>
        </w:rPr>
        <w:object w:dxaOrig="7172" w:dyaOrig="3418">
          <v:shape id="Диаграмма 72" o:spid="_x0000_i1030" type="#_x0000_t75" style="width:351.75pt;height:171pt;visibility:visible" o:ole="">
            <v:imagedata r:id="rId15" o:title=""/>
            <o:lock v:ext="edit" aspectratio="f"/>
          </v:shape>
          <o:OLEObject Type="Embed" ProgID="Excel.Sheet.8" ShapeID="Диаграмма 72" DrawAspect="Content" ObjectID="_1488952684" r:id="rId16"/>
        </w:object>
      </w:r>
    </w:p>
    <w:p w:rsidR="008F0BED" w:rsidRPr="00ED0DC8" w:rsidRDefault="008F0BED" w:rsidP="00FA1E0B">
      <w:pPr>
        <w:tabs>
          <w:tab w:val="left" w:pos="284"/>
          <w:tab w:val="left" w:pos="900"/>
          <w:tab w:val="left" w:pos="1080"/>
        </w:tabs>
        <w:ind w:firstLine="709"/>
        <w:jc w:val="center"/>
        <w:rPr>
          <w:b/>
          <w:bCs/>
          <w:color w:val="auto"/>
          <w:sz w:val="24"/>
          <w:szCs w:val="24"/>
        </w:rPr>
      </w:pPr>
      <w:r w:rsidRPr="00ED0DC8">
        <w:rPr>
          <w:b/>
          <w:bCs/>
          <w:color w:val="auto"/>
          <w:sz w:val="24"/>
          <w:szCs w:val="24"/>
        </w:rPr>
        <w:t xml:space="preserve">Сравнительный анализ педагогических кадров </w:t>
      </w:r>
      <w:r w:rsidRPr="00ED0DC8">
        <w:rPr>
          <w:b/>
          <w:bCs/>
          <w:noProof/>
          <w:color w:val="auto"/>
          <w:sz w:val="24"/>
          <w:szCs w:val="24"/>
        </w:rPr>
        <w:t xml:space="preserve">основных работников МОБУ ДОД «ДЮЦ» </w:t>
      </w:r>
      <w:r w:rsidRPr="00ED0DC8">
        <w:rPr>
          <w:b/>
          <w:bCs/>
          <w:color w:val="auto"/>
          <w:sz w:val="24"/>
          <w:szCs w:val="24"/>
        </w:rPr>
        <w:t>по квалификационным категориям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2363"/>
        <w:gridCol w:w="2389"/>
        <w:gridCol w:w="2242"/>
      </w:tblGrid>
      <w:tr w:rsidR="008F0BED" w:rsidRPr="00AC0BA0">
        <w:tc>
          <w:tcPr>
            <w:tcW w:w="2674" w:type="dxa"/>
            <w:tcBorders>
              <w:tl2br w:val="single" w:sz="4" w:space="0" w:color="auto"/>
            </w:tcBorders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 xml:space="preserve">Категория </w:t>
            </w:r>
          </w:p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</w:p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 xml:space="preserve">Период  </w:t>
            </w:r>
          </w:p>
        </w:tc>
        <w:tc>
          <w:tcPr>
            <w:tcW w:w="236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89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24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Не имеют категории</w:t>
            </w:r>
          </w:p>
        </w:tc>
      </w:tr>
      <w:tr w:rsidR="008F0BED" w:rsidRPr="00AC0BA0">
        <w:tc>
          <w:tcPr>
            <w:tcW w:w="2674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36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3,6%</w:t>
            </w:r>
          </w:p>
        </w:tc>
        <w:tc>
          <w:tcPr>
            <w:tcW w:w="2389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40%</w:t>
            </w:r>
          </w:p>
        </w:tc>
        <w:tc>
          <w:tcPr>
            <w:tcW w:w="224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48,2%</w:t>
            </w:r>
          </w:p>
        </w:tc>
      </w:tr>
      <w:tr w:rsidR="008F0BED" w:rsidRPr="00AC0BA0">
        <w:tc>
          <w:tcPr>
            <w:tcW w:w="2674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236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4,9%</w:t>
            </w:r>
          </w:p>
        </w:tc>
        <w:tc>
          <w:tcPr>
            <w:tcW w:w="2389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36,9%</w:t>
            </w:r>
          </w:p>
        </w:tc>
        <w:tc>
          <w:tcPr>
            <w:tcW w:w="224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53,4%</w:t>
            </w:r>
          </w:p>
        </w:tc>
      </w:tr>
      <w:tr w:rsidR="008F0BED" w:rsidRPr="00AC0BA0">
        <w:tc>
          <w:tcPr>
            <w:tcW w:w="2674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AC0BA0">
              <w:rPr>
                <w:b/>
                <w:bCs/>
                <w:noProof/>
                <w:color w:val="auto"/>
                <w:sz w:val="24"/>
                <w:szCs w:val="24"/>
              </w:rPr>
              <w:t>2013-2014</w:t>
            </w:r>
          </w:p>
        </w:tc>
        <w:tc>
          <w:tcPr>
            <w:tcW w:w="2363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2,4%</w:t>
            </w:r>
          </w:p>
        </w:tc>
        <w:tc>
          <w:tcPr>
            <w:tcW w:w="2389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21,3%</w:t>
            </w:r>
          </w:p>
        </w:tc>
        <w:tc>
          <w:tcPr>
            <w:tcW w:w="2242" w:type="dxa"/>
          </w:tcPr>
          <w:p w:rsidR="008F0BED" w:rsidRPr="00AC0BA0" w:rsidRDefault="008F0BED" w:rsidP="00AC0BA0">
            <w:pPr>
              <w:tabs>
                <w:tab w:val="left" w:pos="284"/>
                <w:tab w:val="left" w:pos="900"/>
                <w:tab w:val="left" w:pos="1080"/>
              </w:tabs>
              <w:spacing w:line="276" w:lineRule="auto"/>
              <w:jc w:val="both"/>
              <w:rPr>
                <w:noProof/>
                <w:color w:val="auto"/>
                <w:sz w:val="24"/>
                <w:szCs w:val="24"/>
              </w:rPr>
            </w:pPr>
            <w:r w:rsidRPr="00AC0BA0">
              <w:rPr>
                <w:noProof/>
                <w:color w:val="auto"/>
                <w:sz w:val="24"/>
                <w:szCs w:val="24"/>
              </w:rPr>
              <w:t>62,4%</w:t>
            </w:r>
          </w:p>
        </w:tc>
      </w:tr>
    </w:tbl>
    <w:p w:rsidR="008F0BED" w:rsidRPr="00ED0DC8" w:rsidRDefault="008F0BED" w:rsidP="004F2EBD">
      <w:pPr>
        <w:ind w:firstLine="709"/>
        <w:jc w:val="both"/>
        <w:rPr>
          <w:color w:val="auto"/>
        </w:rPr>
      </w:pPr>
      <w:r>
        <w:rPr>
          <w:noProof/>
          <w:lang w:eastAsia="ru-RU"/>
        </w:rPr>
        <w:pict>
          <v:shape id="_x0000_s1026" type="#_x0000_t75" style="position:absolute;left:0;text-align:left;margin-left:.4pt;margin-top:12.95pt;width:457.45pt;height:183.85pt;z-index:251658240;visibility:visible;mso-wrap-distance-bottom:.24pt;mso-position-horizontal-relative:text;mso-position-vertical-relative:text">
            <v:imagedata r:id="rId17" o:title=""/>
            <w10:wrap type="square"/>
          </v:shape>
          <o:OLEObject Type="Embed" ProgID="Excel.Sheet.8" ShapeID="_x0000_s1026" DrawAspect="Content" ObjectID="_1488952685" r:id="rId18"/>
        </w:pict>
      </w:r>
    </w:p>
    <w:p w:rsidR="008F0BED" w:rsidRPr="00ED0DC8" w:rsidRDefault="008F0BED" w:rsidP="00DE4857">
      <w:pPr>
        <w:ind w:firstLine="709"/>
        <w:jc w:val="both"/>
        <w:rPr>
          <w:color w:val="auto"/>
        </w:rPr>
      </w:pPr>
      <w:r w:rsidRPr="00ED0DC8">
        <w:rPr>
          <w:color w:val="auto"/>
        </w:rPr>
        <w:t>Оптимизация сети и реализация новых финансово-экономических механизмов привели к сокращению численности педагогов дополнительного образования.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8F0BED" w:rsidRPr="00ED0DC8" w:rsidRDefault="008F0BED" w:rsidP="00844D62">
      <w:pPr>
        <w:ind w:firstLine="708"/>
        <w:jc w:val="both"/>
        <w:rPr>
          <w:color w:val="auto"/>
        </w:rPr>
      </w:pPr>
      <w:r w:rsidRPr="00ED0DC8">
        <w:rPr>
          <w:color w:val="auto"/>
        </w:rPr>
        <w:t>низкий охват детей дополнительным образованием в общей численности детей и подростков в возрасте от 5-18 лет (с целью выполнения обязательств по «Дорожной карте» довести долю детей, охваченных дополнительным образованием до 95%);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наблюдается тенденция старения педагогических кадров, низкие темпы обновления состава и компетенций педагогических кадров;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проблема кадрового обеспечения профессионально - компетентными специалистами – их пополнения, стимулирования и подготовки к решению современных профессиональных задач; 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материальные условия работы в системе дополнительного образования не позволяют в необходимой мере привлечь молодые кадры, способные заниматься с детьми наиболее популярными и востребованными среди них видами деятельности;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низкая оплата труда работников учреждения дополнительного образования детей;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8F0BED" w:rsidRPr="00ED0DC8" w:rsidRDefault="008F0BED" w:rsidP="00143588">
      <w:pPr>
        <w:ind w:firstLine="709"/>
        <w:jc w:val="both"/>
        <w:rPr>
          <w:color w:val="auto"/>
        </w:rPr>
      </w:pPr>
      <w:r w:rsidRPr="00ED0DC8">
        <w:rPr>
          <w:color w:val="auto"/>
        </w:rPr>
        <w:t>требуют совершенствования программы работы с одаренными и талантливыми детьми;</w:t>
      </w:r>
    </w:p>
    <w:p w:rsidR="008F0BED" w:rsidRPr="00ED0DC8" w:rsidRDefault="008F0BED" w:rsidP="00912809">
      <w:pPr>
        <w:ind w:firstLine="709"/>
        <w:jc w:val="both"/>
        <w:rPr>
          <w:color w:val="auto"/>
        </w:rPr>
      </w:pPr>
      <w:r w:rsidRPr="00ED0DC8">
        <w:rPr>
          <w:color w:val="auto"/>
        </w:rPr>
        <w:t>низкий уровень вовлеченности детей в неформальное и информальное образование.</w:t>
      </w:r>
    </w:p>
    <w:p w:rsidR="008F0BED" w:rsidRDefault="008F0BED" w:rsidP="00143588">
      <w:pPr>
        <w:jc w:val="center"/>
        <w:rPr>
          <w:b/>
          <w:bCs/>
          <w:color w:val="auto"/>
        </w:rPr>
        <w:sectPr w:rsidR="008F0BED" w:rsidSect="00203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BED" w:rsidRPr="00ED0DC8" w:rsidRDefault="008F0BED" w:rsidP="00143588">
      <w:pPr>
        <w:jc w:val="center"/>
        <w:rPr>
          <w:b/>
          <w:bCs/>
          <w:color w:val="auto"/>
        </w:rPr>
      </w:pPr>
      <w:r w:rsidRPr="00ED0DC8">
        <w:rPr>
          <w:b/>
          <w:bCs/>
          <w:color w:val="auto"/>
        </w:rPr>
        <w:t>2. Приоритеты муниципальной политики Ясненского района в сфере дополнительного образования детей, цель, задачи и показатели (индикаторы) их достижения, описание основных ожидаемых результатов, сроков реализации Подпрограммы</w:t>
      </w:r>
      <w:r>
        <w:rPr>
          <w:b/>
          <w:bCs/>
          <w:color w:val="auto"/>
        </w:rPr>
        <w:t xml:space="preserve"> № 3</w:t>
      </w:r>
    </w:p>
    <w:p w:rsidR="008F0BED" w:rsidRPr="00ED0DC8" w:rsidRDefault="008F0BED" w:rsidP="001B0AF5">
      <w:pPr>
        <w:rPr>
          <w:color w:val="auto"/>
        </w:rPr>
      </w:pPr>
    </w:p>
    <w:p w:rsidR="008F0BED" w:rsidRPr="002209D0" w:rsidRDefault="008F0BED" w:rsidP="0090451C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Основными направлениями политики Ясненского района в сфере дополнительного образования детей на период реализации Подпрограммы</w:t>
      </w:r>
      <w:r>
        <w:rPr>
          <w:color w:val="auto"/>
        </w:rPr>
        <w:t xml:space="preserve"> №3</w:t>
      </w:r>
      <w:r w:rsidRPr="00ED0DC8">
        <w:rPr>
          <w:color w:val="auto"/>
        </w:rPr>
        <w:t xml:space="preserve"> являются обеспечение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</w:t>
      </w:r>
      <w:r w:rsidRPr="002209D0">
        <w:rPr>
          <w:color w:val="auto"/>
        </w:rPr>
        <w:t>социального, культурного, экономического развития.</w:t>
      </w:r>
    </w:p>
    <w:p w:rsidR="008F0BED" w:rsidRPr="002209D0" w:rsidRDefault="008F0BED" w:rsidP="0090451C">
      <w:pPr>
        <w:ind w:firstLine="709"/>
        <w:jc w:val="both"/>
        <w:rPr>
          <w:color w:val="auto"/>
        </w:rPr>
      </w:pPr>
      <w:r w:rsidRPr="002209D0">
        <w:rPr>
          <w:color w:val="auto"/>
        </w:rPr>
        <w:t>Целью Подпрограммы № 3 является обеспечение качества, доступности и эффективности дополнительного образования.</w:t>
      </w:r>
    </w:p>
    <w:p w:rsidR="008F0BED" w:rsidRPr="002209D0" w:rsidRDefault="008F0BED" w:rsidP="0090451C">
      <w:pPr>
        <w:ind w:firstLine="709"/>
        <w:jc w:val="both"/>
        <w:rPr>
          <w:color w:val="auto"/>
        </w:rPr>
      </w:pPr>
      <w:r w:rsidRPr="002209D0">
        <w:rPr>
          <w:color w:val="auto"/>
        </w:rPr>
        <w:t>Задачи, направленные на обеспечение качества, доступности и эффективности образования, сводятся к следующему:</w:t>
      </w:r>
    </w:p>
    <w:p w:rsidR="008F0BED" w:rsidRPr="002209D0" w:rsidRDefault="008F0BED" w:rsidP="002407C7">
      <w:pPr>
        <w:ind w:firstLine="709"/>
        <w:jc w:val="both"/>
        <w:rPr>
          <w:color w:val="auto"/>
        </w:rPr>
      </w:pPr>
      <w:r w:rsidRPr="002209D0">
        <w:rPr>
          <w:color w:val="auto"/>
        </w:rPr>
        <w:t>1. повышение качества дополнительного образования путем стимулирования педагогов к достижению качественных результатов, повышения доли молодых специалистов;</w:t>
      </w:r>
    </w:p>
    <w:p w:rsidR="008F0BED" w:rsidRPr="002209D0" w:rsidRDefault="008F0BED" w:rsidP="002407C7">
      <w:pPr>
        <w:ind w:firstLine="709"/>
        <w:jc w:val="both"/>
        <w:rPr>
          <w:color w:val="auto"/>
        </w:rPr>
      </w:pPr>
      <w:r w:rsidRPr="002209D0">
        <w:rPr>
          <w:color w:val="auto"/>
        </w:rPr>
        <w:t>2. совершенствование системы внеурочной занятости детей и подростков в соответствии с их интересами и способностями;</w:t>
      </w:r>
    </w:p>
    <w:p w:rsidR="008F0BED" w:rsidRPr="002209D0" w:rsidRDefault="008F0BED" w:rsidP="002407C7">
      <w:pPr>
        <w:ind w:firstLine="709"/>
        <w:jc w:val="both"/>
        <w:rPr>
          <w:color w:val="auto"/>
        </w:rPr>
      </w:pPr>
      <w:r w:rsidRPr="002209D0">
        <w:rPr>
          <w:color w:val="auto"/>
        </w:rPr>
        <w:t xml:space="preserve">3. 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 </w:t>
      </w:r>
    </w:p>
    <w:p w:rsidR="008F0BED" w:rsidRPr="002209D0" w:rsidRDefault="008F0BED" w:rsidP="0090451C">
      <w:pPr>
        <w:ind w:firstLine="709"/>
        <w:jc w:val="both"/>
        <w:rPr>
          <w:color w:val="auto"/>
        </w:rPr>
      </w:pPr>
      <w:r w:rsidRPr="002209D0">
        <w:rPr>
          <w:color w:val="auto"/>
        </w:rPr>
        <w:t>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8F0BED" w:rsidRDefault="008F0BED" w:rsidP="0090451C">
      <w:pPr>
        <w:ind w:firstLine="709"/>
        <w:jc w:val="both"/>
        <w:rPr>
          <w:color w:val="auto"/>
        </w:rPr>
      </w:pPr>
      <w:r w:rsidRPr="002209D0">
        <w:rPr>
          <w:color w:val="auto"/>
        </w:rPr>
        <w:t>5. создание современной инфраструктуры неформального образования для формирования у обучающихся социальных компетенций</w:t>
      </w:r>
      <w:r w:rsidRPr="002E2B2F">
        <w:rPr>
          <w:color w:val="auto"/>
        </w:rPr>
        <w:t>, гражданских установок, культуры здорового образа жизни</w:t>
      </w:r>
      <w:r>
        <w:rPr>
          <w:color w:val="auto"/>
        </w:rPr>
        <w:t>.</w:t>
      </w:r>
    </w:p>
    <w:p w:rsidR="008F0BED" w:rsidRDefault="008F0BED" w:rsidP="0090451C">
      <w:pPr>
        <w:ind w:firstLine="709"/>
        <w:jc w:val="both"/>
        <w:rPr>
          <w:color w:val="auto"/>
        </w:rPr>
      </w:pP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реализации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решается задача обеспечения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Для этого будет обеспечена модернизация образовательной сети и инфраструктуры  дополнительного образования детей. В сельской местности будут реализованы модели сетевого взаимодействия образовательных организаций и организаций социально-культурной сферы. Для развития механизмов позитивной социализации подрастающего поколения будут разрабатываться новые, отвечающие изменившимся социокультурным условиям, модели и программы формирования гражданских установок и социальных компетенций детей, будет проводиться модернизация системы дополнительного образования детей, летнего отдыха и занятости, формироваться система поддержки масштабных общественных просветительских проектов с использованием современных медийных инструментов. В дальнейшем на основе созданного задела будут запущены механизмы модернизации образования, обеспечивающие достижение нового качества результатов обучения и социализации детей.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Эффективный контракт с педагогами обеспечит мотивацию к повышению качества образования и непрерывному профессиональному развитию, привлечет в организации дополнительного образования лучших выпускников вузов, талантливых специалистов в различных областях знания, культуры, техники. Будет развиваться инфраструктура сопровождения раннего развития детей (специализированные центры, отделения и программы при организациях дополнительного образования). Будут созданы современные центры исследовательской, изобретательской, научно-технической и конструкторской деятельности детей и подростков. Масштабные общественные просветительские проекты с использованием современных медийных инструментов охватят значительную часть детей и подростков.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Мероприятия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на завершающей стадии будут ориентированы на развитие системы образовательных сервисов для удовлетворения разнообразных запросов подрастающего поколения и семей. Будет обеспечен переход от содержания ведомственных организаций и организаций образования, культуры и спорта к формированию территориальных сетей социализации, будут созданы комплексные социальные организации, оказывающие многопрофильные услуги. Применительно к сельской местности это позволяет повысить доступность качественных социальных услуг, а в городских районах – обеспечивать комплексный подход к решению задач социализации детей. Возрастет активность семей в воспитании и образовании детей. В сфере дополнительного образования детей доминирующими становятся механизмы государственно-частного и социального партнерства. Будет обеспечен качественно новый уровень индивидуализации образования, позволяющий реализовывать образовательные траектории в организациях всех форм собственности и их сетях, в формах семейного, дистанционного образования, самообразования. 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По итогам реализации Подпрограммы </w:t>
      </w:r>
      <w:r>
        <w:rPr>
          <w:color w:val="auto"/>
        </w:rPr>
        <w:t xml:space="preserve">№ 3 </w:t>
      </w:r>
      <w:r w:rsidRPr="00ED0DC8">
        <w:rPr>
          <w:color w:val="auto"/>
        </w:rPr>
        <w:t>к 2020 году: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 менее 95 процентов детей дошкольного и школьного возраста будут охвачены услугами дополнительного образования детей;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 менее 80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будет завершен переход к эффективному контракту в сфере дополнительного образования детей: средняя заработная плата педагогических работников организаций дополнительного образования детей составит не менее 100 процентов от средней заработной платы в сфере общего образования в районе;</w:t>
      </w:r>
    </w:p>
    <w:p w:rsidR="008F0BED" w:rsidRPr="00ED0DC8" w:rsidRDefault="008F0BED" w:rsidP="00871000">
      <w:pPr>
        <w:ind w:firstLine="709"/>
        <w:jc w:val="both"/>
        <w:rPr>
          <w:color w:val="auto"/>
          <w:u w:val="single"/>
        </w:rPr>
      </w:pPr>
      <w:r w:rsidRPr="00ED0DC8">
        <w:rPr>
          <w:color w:val="auto"/>
          <w:u w:val="single"/>
        </w:rPr>
        <w:t>будут введены стандарты профессиональной деятельности и основанная на них система аттестации педагогов;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все педагоги и руководители организаций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Сроки реализации Подпрограммы – 2015–2020 годы.</w:t>
      </w:r>
    </w:p>
    <w:p w:rsidR="008F0BED" w:rsidRDefault="008F0BED" w:rsidP="0090451C">
      <w:pPr>
        <w:ind w:firstLine="709"/>
        <w:jc w:val="both"/>
        <w:rPr>
          <w:color w:val="auto"/>
        </w:rPr>
      </w:pPr>
    </w:p>
    <w:p w:rsidR="008F0BED" w:rsidRPr="00ED0DC8" w:rsidRDefault="008F0BED" w:rsidP="0090451C">
      <w:pPr>
        <w:ind w:firstLine="709"/>
        <w:jc w:val="both"/>
        <w:rPr>
          <w:color w:val="auto"/>
        </w:rPr>
      </w:pPr>
    </w:p>
    <w:p w:rsidR="008F0BED" w:rsidRPr="00ED0DC8" w:rsidRDefault="008F0BED" w:rsidP="00943537">
      <w:pPr>
        <w:ind w:firstLine="709"/>
        <w:jc w:val="both"/>
        <w:rPr>
          <w:color w:val="auto"/>
        </w:rPr>
      </w:pPr>
    </w:p>
    <w:p w:rsidR="008F0BED" w:rsidRDefault="008F0BED" w:rsidP="006412F1">
      <w:pPr>
        <w:ind w:firstLine="709"/>
        <w:jc w:val="both"/>
        <w:rPr>
          <w:color w:val="auto"/>
        </w:rPr>
        <w:sectPr w:rsidR="008F0BED" w:rsidSect="002038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BED" w:rsidRPr="00871000" w:rsidRDefault="008F0BED" w:rsidP="002038F4">
      <w:pPr>
        <w:ind w:firstLine="709"/>
        <w:jc w:val="center"/>
        <w:rPr>
          <w:b/>
          <w:bCs/>
          <w:color w:val="auto"/>
        </w:rPr>
      </w:pPr>
      <w:r w:rsidRPr="00871000">
        <w:rPr>
          <w:b/>
          <w:bCs/>
          <w:color w:val="auto"/>
        </w:rPr>
        <w:t>3. Целевые показатели (индикаторы) Подпрограммы № 3</w:t>
      </w:r>
    </w:p>
    <w:p w:rsidR="008F0BED" w:rsidRPr="00D74732" w:rsidRDefault="008F0BED" w:rsidP="002407C7">
      <w:pPr>
        <w:ind w:firstLine="709"/>
        <w:jc w:val="both"/>
        <w:rPr>
          <w:color w:val="auto"/>
        </w:rPr>
      </w:pPr>
    </w:p>
    <w:p w:rsidR="008F0BED" w:rsidRPr="00D74732" w:rsidRDefault="008F0BED" w:rsidP="002407C7">
      <w:pPr>
        <w:ind w:firstLine="709"/>
        <w:jc w:val="both"/>
        <w:rPr>
          <w:color w:val="auto"/>
        </w:rPr>
      </w:pPr>
      <w:r w:rsidRPr="00D74732">
        <w:rPr>
          <w:color w:val="auto"/>
        </w:rPr>
        <w:t xml:space="preserve">Для достижения поставленной цели </w:t>
      </w:r>
      <w:r>
        <w:rPr>
          <w:color w:val="auto"/>
        </w:rPr>
        <w:t>П</w:t>
      </w:r>
      <w:r w:rsidRPr="00D74732">
        <w:rPr>
          <w:color w:val="auto"/>
        </w:rPr>
        <w:t xml:space="preserve">одпрограммы </w:t>
      </w:r>
      <w:r>
        <w:rPr>
          <w:color w:val="auto"/>
        </w:rPr>
        <w:t>№</w:t>
      </w:r>
      <w:r w:rsidRPr="00D74732">
        <w:rPr>
          <w:color w:val="auto"/>
        </w:rPr>
        <w:t xml:space="preserve"> 3 применяются целевые индикаторы с указанием исходного показателя базового года (2014 г.) и целевого значения индикатора согласно таблице:</w:t>
      </w:r>
    </w:p>
    <w:p w:rsidR="008F0BED" w:rsidRPr="00D74732" w:rsidRDefault="008F0BED" w:rsidP="002407C7">
      <w:pPr>
        <w:rPr>
          <w:color w:val="auto"/>
        </w:rPr>
      </w:pPr>
    </w:p>
    <w:tbl>
      <w:tblPr>
        <w:tblW w:w="15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66"/>
        <w:gridCol w:w="6518"/>
        <w:gridCol w:w="1417"/>
        <w:gridCol w:w="1842"/>
        <w:gridCol w:w="788"/>
        <w:gridCol w:w="761"/>
        <w:gridCol w:w="851"/>
        <w:gridCol w:w="761"/>
        <w:gridCol w:w="822"/>
        <w:gridCol w:w="822"/>
      </w:tblGrid>
      <w:tr w:rsidR="008F0BED" w:rsidRPr="002038F4"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Исходные показатели базового года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индикатора</w:t>
            </w:r>
          </w:p>
        </w:tc>
      </w:tr>
      <w:tr w:rsidR="008F0BED" w:rsidRPr="002038F4"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D74732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8F0BED" w:rsidRPr="002038F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E92EAC">
            <w:pPr>
              <w:jc w:val="both"/>
              <w:rPr>
                <w:color w:val="auto"/>
                <w:sz w:val="26"/>
                <w:szCs w:val="26"/>
              </w:rPr>
            </w:pPr>
            <w:r w:rsidRPr="002038F4">
              <w:rPr>
                <w:color w:val="auto"/>
                <w:sz w:val="26"/>
                <w:szCs w:val="26"/>
              </w:rPr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8F0BED" w:rsidRPr="004D2142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4D2142">
            <w:pPr>
              <w:pStyle w:val="a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педагогов ДО в возрасте до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 xml:space="preserve"> лет в общей численности педагогов организаций допобразования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32,5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4D2142" w:rsidRDefault="008F0BED" w:rsidP="00020B89">
            <w:pPr>
              <w:jc w:val="center"/>
              <w:rPr>
                <w:color w:val="auto"/>
              </w:rPr>
            </w:pPr>
            <w:r w:rsidRPr="004D2142">
              <w:rPr>
                <w:color w:val="auto"/>
              </w:rPr>
              <w:t>33,0</w:t>
            </w:r>
          </w:p>
        </w:tc>
      </w:tr>
      <w:tr w:rsidR="008F0BED" w:rsidRPr="002038F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E92EAC">
            <w:pPr>
              <w:pStyle w:val="a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5312B0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5312B0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5312B0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5312B0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8F0BED" w:rsidRPr="002038F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E92EAC">
            <w:pPr>
              <w:pStyle w:val="a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I и высшую квалификационные категории,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F0BED" w:rsidRPr="002038F4"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E92EAC">
            <w:pPr>
              <w:pStyle w:val="a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Удельный вес численности руководителей организаций</w:t>
            </w: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F0BED" w:rsidRPr="002038F4">
        <w:trPr>
          <w:gridBefore w:val="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2038F4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2038F4" w:rsidRDefault="008F0BED" w:rsidP="00E92EAC">
            <w:pPr>
              <w:jc w:val="both"/>
              <w:rPr>
                <w:color w:val="auto"/>
                <w:sz w:val="26"/>
                <w:szCs w:val="26"/>
              </w:rPr>
            </w:pPr>
            <w:r w:rsidRPr="002038F4">
              <w:rPr>
                <w:color w:val="auto"/>
                <w:sz w:val="26"/>
                <w:szCs w:val="26"/>
              </w:rPr>
              <w:t>Отношение среднемесячной заработной платы педагогических работников муниципальных организациях дополнительного образования к средней заработной плате в общем образовании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38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 w:rsidRPr="003C5FF0">
              <w:t>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>
              <w:t>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3C5FF0" w:rsidRDefault="008F0BED" w:rsidP="0086471F">
            <w:pPr>
              <w:jc w:val="center"/>
            </w:pPr>
            <w: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2038F4" w:rsidRDefault="008F0BED" w:rsidP="0086471F">
            <w:pPr>
              <w:pStyle w:val="a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F0BED" w:rsidRDefault="008F0BED" w:rsidP="002407C7">
      <w:pPr>
        <w:ind w:firstLine="709"/>
        <w:jc w:val="both"/>
      </w:pPr>
    </w:p>
    <w:p w:rsidR="008F0BED" w:rsidRDefault="008F0BED" w:rsidP="001B0AF5">
      <w:pPr>
        <w:rPr>
          <w:color w:val="auto"/>
        </w:rPr>
        <w:sectPr w:rsidR="008F0BED" w:rsidSect="002038F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F0BED" w:rsidRPr="00ED0DC8" w:rsidRDefault="008F0BED" w:rsidP="00857992">
      <w:pPr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Pr="00ED0DC8">
        <w:rPr>
          <w:b/>
          <w:bCs/>
          <w:color w:val="auto"/>
        </w:rPr>
        <w:t>. Характеристика основных мероприятий Подпрограммы</w:t>
      </w:r>
      <w:r>
        <w:rPr>
          <w:b/>
          <w:bCs/>
          <w:color w:val="auto"/>
        </w:rPr>
        <w:t xml:space="preserve"> № 3</w:t>
      </w:r>
    </w:p>
    <w:p w:rsidR="008F0BED" w:rsidRPr="00ED0DC8" w:rsidRDefault="008F0BED" w:rsidP="00857992">
      <w:pPr>
        <w:ind w:firstLine="709"/>
        <w:jc w:val="center"/>
        <w:rPr>
          <w:b/>
          <w:bCs/>
          <w:color w:val="auto"/>
        </w:rPr>
      </w:pP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Подпрограмма </w:t>
      </w:r>
      <w:r>
        <w:rPr>
          <w:color w:val="auto"/>
        </w:rPr>
        <w:t>№ 3 содержит 5 основных мероприятия</w:t>
      </w:r>
      <w:r w:rsidRPr="00ED0DC8">
        <w:rPr>
          <w:color w:val="auto"/>
        </w:rPr>
        <w:t>, направленных на обеспечение реализации муниципальных заданий образовательными организациями дополнительного образования детей.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1 «Развитие сферы неформального образования и социализации детей»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1 направлено на 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детей. Финансовое обеспечение реализации муниципального задания будет осуществляться с учетом показателей по объему и качеству оказываемых услуг.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В рамках Подпрограммы </w:t>
      </w:r>
      <w:r>
        <w:rPr>
          <w:color w:val="auto"/>
        </w:rPr>
        <w:t xml:space="preserve">№ 3 </w:t>
      </w:r>
      <w:r w:rsidRPr="00ED0DC8">
        <w:rPr>
          <w:color w:val="auto"/>
        </w:rPr>
        <w:t xml:space="preserve">будет реализовано мероприятие по распространению в районе современных моделей успешной социализации детей, интегрированных моделей общего и дополнительного образования, которые станут основой для дальнейшего развития дополнительного образования детей. 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Для расширения спектра качественных услуг дополнительного образования детей будут реализованы меры по созданию конкурентной среды. 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На муниципальном уровне будут использоваться механизмы государственно-частного партнерства, поддержки социально ориентированных некоммерческих организаций и малого предпринимательства. Одновременно будут введены механизмы поддержки доступа к услугам дополнительного образования для детей из семей с низким доходом. 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Будут реализованы меры по повышению заработной платы труда педагогических работников организаций дополнительного образования детей. Заработная плата педагогических работников с высоким уровнем квалификации будет доведена до уровня, сопоставимого с уровнем квалификации учителей школ.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Для развития художественного творчества детей и подростков в районе будут внедрятся гибкие организационные формы занятий с детьми и подростками, позволяющие оперативно усваивать знания, умения и навыки музыкальной и художественной деятельности (в том числе с использованием инновационных технологий), реализовывать себя в творчестве. 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Реализация Подпрограммы </w:t>
      </w:r>
      <w:r>
        <w:rPr>
          <w:color w:val="auto"/>
        </w:rPr>
        <w:t>№ 3</w:t>
      </w:r>
      <w:r w:rsidRPr="00ED0DC8">
        <w:rPr>
          <w:color w:val="auto"/>
        </w:rPr>
        <w:t>, обеспечивающей социализацию и самореализацию</w:t>
      </w:r>
      <w:r w:rsidRPr="00F46ED3">
        <w:rPr>
          <w:color w:val="auto"/>
        </w:rPr>
        <w:t xml:space="preserve"> </w:t>
      </w:r>
      <w:r w:rsidRPr="00ED0DC8">
        <w:rPr>
          <w:color w:val="auto"/>
        </w:rPr>
        <w:t>детей, в том числе формирование территориальных образовательно-культурных сред социализации включает меры по:</w:t>
      </w:r>
    </w:p>
    <w:p w:rsidR="008F0BED" w:rsidRPr="00ED0DC8" w:rsidRDefault="008F0BED" w:rsidP="006E0EFC">
      <w:pPr>
        <w:ind w:firstLine="709"/>
        <w:jc w:val="both"/>
        <w:rPr>
          <w:color w:val="auto"/>
        </w:rPr>
      </w:pPr>
      <w:r w:rsidRPr="00ED0DC8">
        <w:rPr>
          <w:color w:val="auto"/>
        </w:rPr>
        <w:t>улучшению материально-технической базы организаций дополнительного образования детей;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формированию современных механизмов финансового обеспечения услуг дополнительного образования детей, в том числе финансирования на конкурсной основе образовательных программ и организаций независимо от форм собственности;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формированию механизмов выявления заказа местного сообщества на услуги дополнительного образования детей, общественно-профессиональной экспертизы программ;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обеспечению организаций дополнительного образования детей современным оборудованием, методическими и дидактическими пособиями;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подготовке квалифицированных кадров, владеющих современными педагогическими технологиями дополнительного образования и социализации детей и подростков;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привлечению к работе в организациях дополнительного образования детей специалистов в конкретных областях науки, техники, искусства, бизнеса, лучших студентов вузов и представителей родительской общественности;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подготовке руководителей организаций дополнительного образования детей в области менеджмента и маркетинга;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развитию клубов и творческих студий для детей по месту жительства;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развитию практики социального проектирования, добровольческой деятельности несовершеннолетних;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расширению практики детского самоуправления,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организациями, муниципальных общественных советах;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созданию современных центров технического и гуманитарного творчества детей и подростков, поддержке проектов развития самодеятельного художественного творчества, интегрированных служб социализации детей;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реализации эффективных моделей психологической помощи детям и семьям, в том числе профилактической и реабилитационной работы с детьми с девиантным поведением.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С целью использования и развития потенциала неформального образования в решении задач социализации подрастающего поколения в рамках данного основного мероприятия будут поддерживаться общественные проекты, охватывающие значительные по масштабу целевые аудитории группы детей и молодежи, направленные на просвещение детей, формирование у них моральных ценностей, гражданских установок.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Будут созданы сервисы открытого образования в сети Интернет: обучающие игры и игры-симуляторы, сервисы для создания и презентации творческих продуктов и проектов, сетевые конкурсные площадки для презентации способностей, интерактивные системы тестирования знаний и компетенций, видеолекции и мастер-классы педагогов, сетевые проектные сообщества и сообщества по обмену знаниями и другие.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Наряду с этим будут осуществляться создание и внедрение программ обучения навыкам безопасного поведения в интернет-пространстве, профилактики интернет-зависимости, рисков вовлечения в противоправную деятельность.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(информационное, консультационное, тьюторское сопровождение, создание информационных навигаторов). 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Специальное внимание будет уделено распространению программ просвещения и информирования семей, направленных на формирование установок и компетенций ответственного родительства, заинтересованности в воспитании и дополнительном образовании детей.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Реализация основного мероприятия </w:t>
      </w:r>
      <w:r>
        <w:rPr>
          <w:color w:val="auto"/>
        </w:rPr>
        <w:t xml:space="preserve">1 </w:t>
      </w:r>
      <w:r w:rsidRPr="00ED0DC8">
        <w:rPr>
          <w:color w:val="auto"/>
        </w:rPr>
        <w:t>направлена на достижение целевых показателей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: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отношение среднемесячной заработной платы педагогических работников муниципальных образовательных организаций дополнительного образования – к средней заработной плате в районе.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результате реализации данного основного мероприятия будут достигнуты следующие результаты: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 менее 95 процентов детей от 5 до 18 лет будут охвачены программами дополнительного образования;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дети, находящиеся в трудной жизненной ситуации, дети из семей с низким социально-экономическим статусом будут иметь возможность бесплатного обучения по программам дополнительного образования;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 менее 80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не менее 7,5 процента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Сроки реализации основного мероприятия 1 – 2015–2020 годы.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2 «Выявление и поддержка одаренных детей и молодежи»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Основное мероприятие 2 направлено на создание условий для развития молодых талантов как важного условия повышения качества человеческого капитала. </w:t>
      </w:r>
    </w:p>
    <w:p w:rsidR="008F0BED" w:rsidRPr="00ED0DC8" w:rsidRDefault="008F0BED" w:rsidP="000F3D3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основного мероприятия 2 будет развиваться система выявления и поддержки талантливых и одаренных детей в творческой (художественной, музыкальной), социальной, научно-технической, спортивно-технической областях.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Будет обеспечена поддержка педагогов, успешно реализующих программы выявления и поддержки молодых талантов.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2 будет способствовать: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адресной индивидуальной поддержке одаренных детей и молодежи;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созданию общедоступной разветвленной инфраструктуры комплексной психолого-педагогической и медико-социально-правовой помощи для одаренных детей и молодежи в целях обеспечения их профессиональной ориентации, планирования и сопровождения профессиональной карьеры;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расширению сети образовательных организаций, в том числе в сфере культуры и спорта, специализирующихся на работе с молодыми талантами и детьми с высоким уровнем мотивации к обучению и самореализации;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развитию и совершенствованию системы интеллектуальных, творческих конкурсов и спортивных состязаний;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созданию педагогических и социальных условий для развития и дальнейшей профессиональной самореализации одаренных детей и молодежи;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работе с одаренными детьми и молодежью из числа лиц с ограниченными возможностями здоровья;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созданию условий для развития заочных и очно-заочных школ и мотивированных к обучению детей и молодежи на базе организаций дополнительного образования, в том числе с использованием дистанционных образовательных технологий;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содействию развитию сети летних и зимних «школ» для одаренных детей и молодежи. 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Реализация основного мероприятия 2 направлена на достижение целевых показателей настоящей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: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результате реализации данного основного мероприятия: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ежегодно будут проводиться летние и зимние школы для одаренных детей в различных сферах деятельности.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Сроки реализации основного мероприятия 2 – 2015–2020 годы.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3 «Развитие физической культуры и спорта в образовательных организациях дополнительного образования детей»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3 направлено на создание в образовательных организациях условий для сохранения и укрепления здоровья воспитанников и обучающихся, формирования здорового образа жизни, мотивации к занятиям физической культурой и спортом.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основного мероприятия 3 будет продолжена реализация мероприятий по организации и проведению спортивных соревнований.</w:t>
      </w:r>
    </w:p>
    <w:p w:rsidR="008F0BED" w:rsidRPr="00ED0DC8" w:rsidRDefault="008F0BED" w:rsidP="00FA07A2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основного мероприятия 3 будет обеспечена поддержка участия талантливой молодежи в мероприятиях по неолимпийским, в том числе техническим, видам спорта.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Будут реализованы меры по развитию инфраструктуры для занятий физической культурой и спортом,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подростками, реализации программ укрепления здоровья, формирования здорового образа жизни в организациях дополнительного образования детей.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Финансовые средства будут направлены на приобретение оборудования для занятий физической культурой и спортом, повышение квалификации педагогов. 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Реализация основного мероприятия направлена на достижение целевого показателя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– 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результате реализации данного основного мероприятия возрастет численность детей в возрасте 5–18 лет, регулярно занимающихся в спортивных секциях, клубах и иных объединениях спортивной направленности, увеличится охват детей программами формирования здорового образа жизни.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Сроки реализации основного мероприятия 3 – 2015–2020 годы.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4 «Развитие кадрового потенциала системы  дополнительного образования детей»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Основное мероприятие 4 направлено на повышение социального престижа и привлекательности педагогической профессии, уровня квалификации преподавательских кадров, стимулирование педагогов к повышению качества деятельности и непрерывному профессионального развитию. В рамках основного мероприятия 4 будет решаться задача формирования эффективного контракта с педагогами в сфере дополнительного образования детей через повышение заработной платы педагогических работников, разработку и введение стандартов профессиональной деятельности педагогических работников и руководителей образовательных организаций, систем аттестации и оплаты труда, основанных на указанных стандартах, индивидуальных программ профессионального развития, создание новых возможностей для карьерного роста педагогов путем введения профессиональных педагогических степеней и статусов, связанных с расширенными областями деятельности (наставничество, исследования, экспертиза).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Будут созданы механизмы распространения авторских инновационных методик и технологий: размещение на специализированных ресурсах в сети Интернет, тиражирование, проведение мастер-классов (в том числе в сети Интернет), организация летних школ и так далее.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сфере дополнительного образования детей будет осуществляться поддержка институтов самоуправления в профессиональной среде, в том числе создание кодекса профессиональной этики, создание и поддержка деятельности профессиональных ассоциаций и саморегулируемых организаций. Будут реализованы меры, направленные на усиление роли профессиональных объединений педагогов в разработке стандартов профессиональной деятельности, образовательных стандартов, процедурах оценки качества деятельности образовательных организаций, аттестации педагогов, экспертизы в рамках профессиональных конкурсов и других.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Решение задачи повышения мотивации непрерывного профессионального развития, стимулирования творческой активности педагогов, создания условий для выявления и обмена лучшими практиками будет обеспечиваться посредством развития педагогических мероприятий (конкурсы «Сердце отдаю детям» и другие), поддержки профессиональных сообществ.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рамках основного мероприятия 4 будет продолжена работа по организации конкурсных мероприятий по выявлению и поддержке лучших работников образования, продвижению передовых идей и проектов.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Для повышения качества преподавания и управления будут реализованы меры, направленные на формирование системы поддержки непрерывного профессионального развития педагогов и руководителей, включающие в себя: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внедрение моделей персонифицированной системы повышения квалификации и переподготовки работников образования;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создание конкурентной среды на рынке услуг дополнительного профессионального образования педагогов;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повышение квалификации и переподготовку педагогических и управленческих кадров, включая организацию стажировок и обучение в ведущих образовательных центрах, а также обучение учителей технологиям деятельностной педагогики;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создание и регулярное (не реже одного раза в год) обновление кадрового резерва руководителей системы и дополнительного образования детей;</w:t>
      </w:r>
    </w:p>
    <w:p w:rsidR="008F0BED" w:rsidRPr="00ED0DC8" w:rsidRDefault="008F0BED" w:rsidP="007B3C4E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поддержку профессиональных сообществ работников дополнительного образования детей.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Будет обеспечена эффективная интеграция систем повышения квалификации, оценки качества и аттестации педагогических кадров.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Реализация основного мероприятия направлена на достижение целевых показателей настоящей Подпрограммы: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удельный вес численности руководителей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отношение среднемесячной заработной платы педагогических работников организаций дополнительного образования – к средней заработной плате в районе.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В результате реализации данного основного мероприятия: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будет завершен переход к эффективному контракту: средняя заработная плата педагогических работников организаций дополнительного образования составит не менее 100 процентов к средней заработной плате в районе;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повысятся привлекательность педагогической профессии и уровень квалификации преподавательских кадров;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увеличится доля педагогов, использующих современные образовательные технологии, в том числе информационно-коммуникационные;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будет сформирован кадровый резерв руководителей системы дополнительного образования детей, механизмы его регулярного обновления;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>будут сформированы эффективные институты самоуправления в профессиональном педагогическом сообществе.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Сроки реализации основного мероприятия 4 – 2015–2020 годы. </w:t>
      </w:r>
    </w:p>
    <w:p w:rsidR="008F0BED" w:rsidRPr="00ED0DC8" w:rsidRDefault="008F0BED" w:rsidP="00B00609">
      <w:pPr>
        <w:ind w:firstLine="709"/>
        <w:jc w:val="both"/>
        <w:rPr>
          <w:color w:val="auto"/>
        </w:rPr>
      </w:pPr>
    </w:p>
    <w:p w:rsidR="008F0BED" w:rsidRPr="00ED0DC8" w:rsidRDefault="008F0BED" w:rsidP="00B00609">
      <w:pPr>
        <w:ind w:firstLine="709"/>
        <w:jc w:val="both"/>
        <w:rPr>
          <w:color w:val="auto"/>
        </w:rPr>
      </w:pPr>
    </w:p>
    <w:p w:rsidR="008F0BED" w:rsidRPr="00ED0DC8" w:rsidRDefault="008F0BED" w:rsidP="00B00609">
      <w:pPr>
        <w:ind w:firstLine="709"/>
        <w:jc w:val="both"/>
        <w:rPr>
          <w:color w:val="auto"/>
        </w:rPr>
      </w:pPr>
    </w:p>
    <w:p w:rsidR="008F0BED" w:rsidRPr="00ED0DC8" w:rsidRDefault="008F0BED" w:rsidP="00AE3EC7">
      <w:pPr>
        <w:ind w:firstLine="709"/>
        <w:jc w:val="both"/>
        <w:rPr>
          <w:color w:val="auto"/>
        </w:rPr>
      </w:pPr>
    </w:p>
    <w:p w:rsidR="008F0BED" w:rsidRPr="00ED0DC8" w:rsidRDefault="008F0BED" w:rsidP="00AE3EC7">
      <w:pPr>
        <w:ind w:firstLine="709"/>
        <w:jc w:val="both"/>
        <w:rPr>
          <w:color w:val="auto"/>
        </w:rPr>
      </w:pPr>
    </w:p>
    <w:p w:rsidR="008F0BED" w:rsidRPr="00ED0DC8" w:rsidRDefault="008F0BED" w:rsidP="00AE3EC7">
      <w:pPr>
        <w:ind w:firstLine="709"/>
        <w:jc w:val="both"/>
        <w:rPr>
          <w:color w:val="auto"/>
        </w:rPr>
        <w:sectPr w:rsidR="008F0BED" w:rsidRPr="00ED0DC8" w:rsidSect="002038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F0BED" w:rsidRDefault="008F0BED" w:rsidP="00262C85">
      <w:pPr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ПЕРЕЧЕНЬ</w:t>
      </w:r>
    </w:p>
    <w:p w:rsidR="008F0BED" w:rsidRDefault="008F0BED" w:rsidP="00262C85">
      <w:pPr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основных</w:t>
      </w:r>
      <w:r w:rsidRPr="00ED0DC8">
        <w:rPr>
          <w:b/>
          <w:bCs/>
          <w:color w:val="auto"/>
        </w:rPr>
        <w:t xml:space="preserve"> мероприятий Подпрограммы </w:t>
      </w:r>
      <w:r>
        <w:rPr>
          <w:b/>
          <w:bCs/>
          <w:color w:val="auto"/>
        </w:rPr>
        <w:t>№ 3</w:t>
      </w:r>
    </w:p>
    <w:p w:rsidR="008F0BED" w:rsidRDefault="008F0BED" w:rsidP="00262C85">
      <w:pPr>
        <w:ind w:firstLine="709"/>
        <w:jc w:val="center"/>
        <w:rPr>
          <w:b/>
          <w:bCs/>
          <w:color w:val="auto"/>
        </w:rPr>
      </w:pPr>
    </w:p>
    <w:tbl>
      <w:tblPr>
        <w:tblW w:w="15198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51"/>
        <w:gridCol w:w="720"/>
        <w:gridCol w:w="900"/>
        <w:gridCol w:w="900"/>
        <w:gridCol w:w="900"/>
        <w:gridCol w:w="776"/>
        <w:gridCol w:w="776"/>
        <w:gridCol w:w="608"/>
        <w:gridCol w:w="776"/>
        <w:gridCol w:w="664"/>
        <w:gridCol w:w="720"/>
        <w:gridCol w:w="666"/>
        <w:gridCol w:w="728"/>
        <w:gridCol w:w="586"/>
        <w:gridCol w:w="720"/>
        <w:gridCol w:w="709"/>
        <w:gridCol w:w="720"/>
        <w:gridCol w:w="720"/>
        <w:gridCol w:w="618"/>
      </w:tblGrid>
      <w:tr w:rsidR="008F0BED" w:rsidRPr="006E23C1" w:rsidTr="00396F36">
        <w:trPr>
          <w:trHeight w:val="173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4F18B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Мероприятия Подпрограммы № 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Исполнитель, участник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6E2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19" w:history="1">
              <w:r w:rsidRPr="006E23C1">
                <w:rPr>
                  <w:rStyle w:val="a0"/>
                  <w:b w:val="0"/>
                  <w:bCs w:val="0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9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F0BED" w:rsidRPr="006E23C1" w:rsidTr="00396F36">
        <w:trPr>
          <w:trHeight w:val="14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4F18B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всего за 2015 - 2020 годы</w:t>
            </w:r>
          </w:p>
        </w:tc>
        <w:tc>
          <w:tcPr>
            <w:tcW w:w="82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8F0BED" w:rsidRPr="006E23C1" w:rsidTr="00396F36">
        <w:trPr>
          <w:trHeight w:val="14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4F18B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396F36">
            <w:pPr>
              <w:pStyle w:val="a1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F0BED" w:rsidRPr="006E23C1" w:rsidTr="00396F36">
        <w:trPr>
          <w:trHeight w:val="147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4F18B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</w:tr>
      <w:tr w:rsidR="008F0BED" w:rsidRPr="006E23C1" w:rsidTr="00396F36">
        <w:trPr>
          <w:trHeight w:val="138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jc w:val="both"/>
              <w:rPr>
                <w:color w:val="auto"/>
                <w:lang w:eastAsia="ru-RU"/>
              </w:rPr>
            </w:pPr>
            <w:r w:rsidRPr="006E23C1">
              <w:rPr>
                <w:color w:val="auto"/>
                <w:lang w:eastAsia="ru-RU"/>
              </w:rPr>
              <w:t>«Развитие сферы неформального образования и социализации детей»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6E23C1" w:rsidTr="00396F36">
        <w:trPr>
          <w:trHeight w:val="2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jc w:val="both"/>
            </w:pPr>
            <w:r w:rsidRPr="006E23C1">
              <w:rPr>
                <w:color w:val="auto"/>
                <w:lang w:eastAsia="ru-RU"/>
              </w:rPr>
              <w:t>«Выявление и поддержка одаренных детей и молодежи»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396F36">
            <w:pPr>
              <w:pStyle w:val="a1"/>
              <w:ind w:left="-390" w:firstLine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6E23C1" w:rsidTr="00396F36">
        <w:trPr>
          <w:trHeight w:val="21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образовательных организациях дополнительного образования детей»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6E23C1" w:rsidTr="00396F36">
        <w:trPr>
          <w:trHeight w:val="1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340869" w:rsidRDefault="008F0BED" w:rsidP="00340869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t xml:space="preserve"> «Развитие кадрового потенциала системы  дополнительного образования детей»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6E23C1" w:rsidTr="00396F36">
        <w:trPr>
          <w:trHeight w:val="1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340869" w:rsidRDefault="008F0BED" w:rsidP="006E23C1">
            <w:pPr>
              <w:rPr>
                <w:b/>
                <w:bCs/>
                <w:color w:val="auto"/>
              </w:rPr>
            </w:pPr>
            <w:r w:rsidRPr="00340869">
              <w:rPr>
                <w:color w:val="auto"/>
              </w:rPr>
              <w:t xml:space="preserve">Расходы на обеспечение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D42693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D42693" w:rsidRDefault="008F0BED" w:rsidP="00D42693">
            <w:pPr>
              <w:jc w:val="center"/>
              <w:rPr>
                <w:color w:val="auto"/>
              </w:rPr>
            </w:pPr>
            <w:r w:rsidRPr="00D42693">
              <w:rPr>
                <w:color w:val="auto"/>
              </w:rPr>
              <w:t>УДОд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6E23C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D" w:rsidRPr="006E23C1" w:rsidTr="00396F36">
        <w:trPr>
          <w:trHeight w:val="217"/>
        </w:trPr>
        <w:tc>
          <w:tcPr>
            <w:tcW w:w="45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3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D" w:rsidRPr="006E23C1" w:rsidRDefault="008F0BED" w:rsidP="006E23C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912809" w:rsidRDefault="008F0BED" w:rsidP="00D42693">
            <w:pPr>
              <w:jc w:val="center"/>
              <w:rPr>
                <w:color w:val="auto"/>
              </w:rPr>
            </w:pPr>
            <w:r w:rsidRPr="00912809">
              <w:rPr>
                <w:color w:val="auto"/>
              </w:rPr>
              <w:t>53754,1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5106,9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5617,6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4902,6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 w:rsidRPr="006E23C1">
              <w:rPr>
                <w:color w:val="auto"/>
              </w:rPr>
              <w:t>12</w:t>
            </w:r>
            <w:r>
              <w:rPr>
                <w:color w:val="auto"/>
              </w:rPr>
              <w:t xml:space="preserve"> </w:t>
            </w:r>
            <w:r w:rsidRPr="006E23C1">
              <w:rPr>
                <w:color w:val="auto"/>
              </w:rPr>
              <w:t>629,9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 w:rsidRPr="006E23C1">
              <w:rPr>
                <w:color w:val="auto"/>
              </w:rPr>
              <w:t>12</w:t>
            </w:r>
            <w:r>
              <w:rPr>
                <w:color w:val="auto"/>
              </w:rPr>
              <w:t xml:space="preserve"> </w:t>
            </w:r>
            <w:r w:rsidRPr="006E23C1">
              <w:rPr>
                <w:color w:val="auto"/>
              </w:rPr>
              <w:t>641,2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ED" w:rsidRPr="006E23C1" w:rsidRDefault="008F0BED" w:rsidP="00D42693">
            <w:pPr>
              <w:jc w:val="center"/>
              <w:rPr>
                <w:color w:val="auto"/>
              </w:rPr>
            </w:pPr>
            <w:r w:rsidRPr="006E23C1">
              <w:rPr>
                <w:color w:val="auto"/>
              </w:rPr>
              <w:t>12</w:t>
            </w:r>
            <w:r>
              <w:rPr>
                <w:color w:val="auto"/>
              </w:rPr>
              <w:t xml:space="preserve"> </w:t>
            </w:r>
            <w:r w:rsidRPr="006E23C1">
              <w:rPr>
                <w:color w:val="auto"/>
              </w:rPr>
              <w:t>855,9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BED" w:rsidRPr="006E23C1" w:rsidRDefault="008F0BED" w:rsidP="00D8650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  <w:sectPr w:rsidR="008F0BED" w:rsidSect="006244E1">
          <w:pgSz w:w="16840" w:h="11907" w:orient="landscape" w:code="9"/>
          <w:pgMar w:top="1134" w:right="1134" w:bottom="1985" w:left="1985" w:header="709" w:footer="709" w:gutter="0"/>
          <w:cols w:space="708"/>
          <w:docGrid w:linePitch="360"/>
        </w:sectPr>
      </w:pPr>
    </w:p>
    <w:p w:rsidR="008F0BED" w:rsidRPr="00ED0DC8" w:rsidRDefault="008F0BED" w:rsidP="00871000">
      <w:pPr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Pr="00ED0DC8">
        <w:rPr>
          <w:b/>
          <w:bCs/>
          <w:color w:val="auto"/>
        </w:rPr>
        <w:t xml:space="preserve">. Обоснование объема финансовых ресурсов, необходимых для реализации Подпрограммы </w:t>
      </w:r>
      <w:r>
        <w:rPr>
          <w:b/>
          <w:bCs/>
          <w:color w:val="auto"/>
        </w:rPr>
        <w:t>№ 3</w:t>
      </w:r>
    </w:p>
    <w:p w:rsidR="008F0BED" w:rsidRPr="00ED0DC8" w:rsidRDefault="008F0BED" w:rsidP="00871000">
      <w:pPr>
        <w:ind w:firstLine="709"/>
        <w:jc w:val="center"/>
        <w:rPr>
          <w:b/>
          <w:bCs/>
          <w:color w:val="auto"/>
        </w:rPr>
      </w:pPr>
    </w:p>
    <w:p w:rsidR="008F0BED" w:rsidRPr="00A90772" w:rsidRDefault="008F0BED" w:rsidP="00871000">
      <w:pPr>
        <w:ind w:firstLine="709"/>
        <w:jc w:val="both"/>
        <w:rPr>
          <w:color w:val="auto"/>
        </w:rPr>
      </w:pPr>
      <w:r w:rsidRPr="00A90772">
        <w:rPr>
          <w:color w:val="auto"/>
        </w:rPr>
        <w:t>Общий объем финансирования мероприятий Подпрограммы</w:t>
      </w:r>
      <w:r>
        <w:rPr>
          <w:color w:val="auto"/>
        </w:rPr>
        <w:t xml:space="preserve"> № 3</w:t>
      </w:r>
      <w:r w:rsidRPr="00A90772">
        <w:rPr>
          <w:color w:val="auto"/>
        </w:rPr>
        <w:t xml:space="preserve"> в 2015–</w:t>
      </w:r>
      <w:r>
        <w:rPr>
          <w:color w:val="auto"/>
        </w:rPr>
        <w:t>2020 годах составит 53 754,1</w:t>
      </w:r>
      <w:r w:rsidRPr="00A90772">
        <w:rPr>
          <w:color w:val="auto"/>
        </w:rPr>
        <w:t xml:space="preserve"> тыс. рублей, в том числе по годам реализации:</w:t>
      </w:r>
    </w:p>
    <w:p w:rsidR="008F0BED" w:rsidRPr="00A90772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2015 год –  5 106,9</w:t>
      </w:r>
      <w:r w:rsidRPr="00A90772">
        <w:rPr>
          <w:color w:val="auto"/>
        </w:rPr>
        <w:t xml:space="preserve"> тыс. рублей;</w:t>
      </w:r>
    </w:p>
    <w:p w:rsidR="008F0BED" w:rsidRPr="00A90772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2016 год –  5 617,6</w:t>
      </w:r>
      <w:r w:rsidRPr="00A90772">
        <w:rPr>
          <w:color w:val="auto"/>
        </w:rPr>
        <w:t xml:space="preserve"> тыс. рублей;</w:t>
      </w:r>
    </w:p>
    <w:p w:rsidR="008F0BED" w:rsidRPr="000D7A85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2017 год –  4 902,6</w:t>
      </w:r>
      <w:r w:rsidRPr="000D7A85">
        <w:rPr>
          <w:color w:val="auto"/>
        </w:rPr>
        <w:t xml:space="preserve"> тыс. рублей;</w:t>
      </w:r>
    </w:p>
    <w:p w:rsidR="008F0BED" w:rsidRPr="000D7A85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2018 год – 12 629,9</w:t>
      </w:r>
      <w:r w:rsidRPr="000D7A85">
        <w:rPr>
          <w:color w:val="auto"/>
        </w:rPr>
        <w:t xml:space="preserve"> тыс. рублей;</w:t>
      </w:r>
    </w:p>
    <w:p w:rsidR="008F0BED" w:rsidRPr="000D7A85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2019 год – 12 641,2</w:t>
      </w:r>
      <w:r w:rsidRPr="000D7A85">
        <w:rPr>
          <w:color w:val="auto"/>
        </w:rPr>
        <w:t xml:space="preserve"> тыс. рублей;</w:t>
      </w:r>
    </w:p>
    <w:p w:rsidR="008F0BED" w:rsidRDefault="008F0BED" w:rsidP="00871000">
      <w:pPr>
        <w:ind w:firstLine="709"/>
        <w:jc w:val="both"/>
        <w:rPr>
          <w:color w:val="auto"/>
        </w:rPr>
      </w:pPr>
      <w:r>
        <w:rPr>
          <w:color w:val="auto"/>
        </w:rPr>
        <w:t>на 2020 год – 12 855,9</w:t>
      </w:r>
      <w:r w:rsidRPr="000D7A85">
        <w:rPr>
          <w:color w:val="auto"/>
        </w:rPr>
        <w:t xml:space="preserve"> тыс. рублей.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Основным источником финансирования для реализации таких основных мероприятий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, как «Развитие дополнительного и неформального образования и социализации детей», «Выявление и поддержка одаренных детей и молодежи»,  «Развитие кадрового потенциала системы дополнительного образования детей» являются средства</w:t>
      </w:r>
      <w:r>
        <w:rPr>
          <w:color w:val="auto"/>
        </w:rPr>
        <w:t xml:space="preserve"> местного бюджета.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Общий объем расходов на реализацию Подпрограммы </w:t>
      </w:r>
      <w:r>
        <w:rPr>
          <w:color w:val="auto"/>
        </w:rPr>
        <w:t xml:space="preserve">№ 3 </w:t>
      </w:r>
      <w:r w:rsidRPr="00ED0DC8">
        <w:rPr>
          <w:color w:val="auto"/>
        </w:rPr>
        <w:t>предусматривает затраты на: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развитие инфраструктуры дополнительного образования детей для обеспечения доступности и высокого качества образовательных услуг; 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выявление и поддержку одаренных детей и молодежи; 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создание в организациях условий для сохранения и укрепления здоровья воспитанников, формирования здорового образа жизни, мотивации к занятиям физической культурой и спортом;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повышение социального статуса работников образования, привлекательности педагогической профессии для молодежи.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Реализация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Финансирование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в заявленных объемах позволит достичь поставленной цели.</w:t>
      </w:r>
    </w:p>
    <w:p w:rsidR="008F0BED" w:rsidRDefault="008F0BED" w:rsidP="00871000">
      <w:pPr>
        <w:rPr>
          <w:color w:val="auto"/>
        </w:rPr>
      </w:pPr>
    </w:p>
    <w:p w:rsidR="008F0BED" w:rsidRPr="00ED0DC8" w:rsidRDefault="008F0BED" w:rsidP="00871000">
      <w:pPr>
        <w:rPr>
          <w:color w:val="auto"/>
        </w:rPr>
      </w:pPr>
    </w:p>
    <w:p w:rsidR="008F0BED" w:rsidRPr="00ED0DC8" w:rsidRDefault="008F0BED" w:rsidP="00871000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ED0DC8">
        <w:rPr>
          <w:b/>
          <w:bCs/>
          <w:color w:val="auto"/>
        </w:rPr>
        <w:t xml:space="preserve">. Анализ рисков реализации Подпрограммы </w:t>
      </w:r>
      <w:r>
        <w:rPr>
          <w:b/>
          <w:bCs/>
          <w:color w:val="auto"/>
        </w:rPr>
        <w:t xml:space="preserve">№ 3 </w:t>
      </w:r>
      <w:r w:rsidRPr="00ED0DC8">
        <w:rPr>
          <w:b/>
          <w:bCs/>
          <w:color w:val="auto"/>
        </w:rPr>
        <w:t>и описание мер управления рисками</w:t>
      </w:r>
    </w:p>
    <w:p w:rsidR="008F0BED" w:rsidRPr="00ED0DC8" w:rsidRDefault="008F0BED" w:rsidP="00871000">
      <w:pPr>
        <w:jc w:val="center"/>
        <w:rPr>
          <w:b/>
          <w:bCs/>
          <w:color w:val="auto"/>
        </w:rPr>
      </w:pP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К рискам, которые могут оказать влияние на достижение запланированных целей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, относятся: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экономические риски, обусловленные темпом инфляции, динамикой роста цен и тарифов на товары и услуги, изменениями среднемесячных заработков в экономике;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 xml:space="preserve">законодательные риски, обусловленные изменениями в законодательстве Российской Федерации и Оренбургской области, ограничивающими возможность реализации предусмотренных Подпрограммой мероприятий; 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социальные риски, обусловленные изменениями социальных установок профессионального сообщества и населения, ведущие к снижению необходимого уровня общественной поддержки предусмотренных Подпрограммой мероприятий.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Управление рисками будет осуществляться на основе: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проведения комплексного анализа и прогнозирования внешней и внутренней среды исполнения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 xml:space="preserve"> с дальнейшим пересмотром критериев оценки и отбора мероприятий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проведения регулярного мониторинга планируемых изменений в федеральном и областном законодательстве;</w:t>
      </w:r>
    </w:p>
    <w:p w:rsidR="008F0BED" w:rsidRPr="00ED0DC8" w:rsidRDefault="008F0BED" w:rsidP="00871000">
      <w:pPr>
        <w:ind w:firstLine="709"/>
        <w:jc w:val="both"/>
        <w:rPr>
          <w:color w:val="auto"/>
        </w:rPr>
      </w:pPr>
      <w:r w:rsidRPr="00ED0DC8">
        <w:rPr>
          <w:color w:val="auto"/>
        </w:rPr>
        <w:t>мониторинга результативности реализации Подпрограммы</w:t>
      </w:r>
      <w:r>
        <w:rPr>
          <w:color w:val="auto"/>
        </w:rPr>
        <w:t xml:space="preserve"> № 3</w:t>
      </w:r>
      <w:r w:rsidRPr="00ED0DC8">
        <w:rPr>
          <w:color w:val="auto"/>
        </w:rPr>
        <w:t>.</w:t>
      </w:r>
    </w:p>
    <w:p w:rsidR="008F0BED" w:rsidRDefault="008F0BED" w:rsidP="006A1237">
      <w:pPr>
        <w:jc w:val="both"/>
        <w:rPr>
          <w:color w:val="auto"/>
        </w:rPr>
      </w:pPr>
    </w:p>
    <w:p w:rsidR="008F0BED" w:rsidRPr="006A1237" w:rsidRDefault="008F0BED" w:rsidP="006A1237">
      <w:pPr>
        <w:ind w:left="1069"/>
        <w:rPr>
          <w:color w:val="auto"/>
        </w:rPr>
      </w:pPr>
      <w:r w:rsidRPr="006A1237">
        <w:rPr>
          <w:color w:val="auto"/>
        </w:rPr>
        <w:t>Методика оценки эффективности Подпрограммы № 3</w:t>
      </w:r>
    </w:p>
    <w:p w:rsidR="008F0BED" w:rsidRPr="006A1237" w:rsidRDefault="008F0BED" w:rsidP="006A1237">
      <w:pPr>
        <w:ind w:left="1069"/>
        <w:jc w:val="center"/>
        <w:rPr>
          <w:color w:val="auto"/>
        </w:rPr>
      </w:pPr>
    </w:p>
    <w:p w:rsidR="008F0BED" w:rsidRPr="006A1237" w:rsidRDefault="008F0BED" w:rsidP="006A1237">
      <w:pPr>
        <w:ind w:firstLine="709"/>
        <w:jc w:val="both"/>
        <w:rPr>
          <w:color w:val="auto"/>
        </w:rPr>
      </w:pPr>
      <w:r w:rsidRPr="006A1237">
        <w:rPr>
          <w:color w:val="auto"/>
        </w:rPr>
        <w:t>Отдел образования администрации муниципального образования Ясненский район несет ответственность за качественное и своевременное выполнение мероприятий Подпрограммы, целевое и рациональное использование финансовых средств, своевременное информирование о проведенной работе.</w:t>
      </w:r>
    </w:p>
    <w:p w:rsidR="008F0BED" w:rsidRPr="006A1237" w:rsidRDefault="008F0BED" w:rsidP="006A1237">
      <w:pPr>
        <w:ind w:firstLine="540"/>
        <w:jc w:val="both"/>
        <w:rPr>
          <w:color w:val="auto"/>
        </w:rPr>
      </w:pPr>
      <w:r w:rsidRPr="006A1237">
        <w:rPr>
          <w:color w:val="auto"/>
        </w:rPr>
        <w:t xml:space="preserve">В целях осуществления контроля реализации Подпрограммы, отдел по вопросам торговли, транспорта и развития предпринимательства администрации района, проводит ежеквартальный и годовой мониторинг исполнения Подпрограммы. Ежеквартальный отчет подготавливается до 15 числа месяца, следующего за отчетным периодом. Годовой отчет подготавливается до 01 марта года, следующего за отчетным. </w:t>
      </w:r>
    </w:p>
    <w:p w:rsidR="008F0BED" w:rsidRPr="006A1237" w:rsidRDefault="008F0BED" w:rsidP="006A1237">
      <w:pPr>
        <w:ind w:firstLine="540"/>
        <w:jc w:val="both"/>
        <w:rPr>
          <w:color w:val="auto"/>
        </w:rPr>
      </w:pPr>
      <w:r w:rsidRPr="006A1237">
        <w:rPr>
          <w:color w:val="auto"/>
        </w:rPr>
        <w:t xml:space="preserve">Методика оценки эффективности Подпрограммы содержит анализ объемов финансирования мероприятий по Форме </w:t>
      </w:r>
      <w:r>
        <w:rPr>
          <w:color w:val="auto"/>
        </w:rPr>
        <w:t>3</w:t>
      </w:r>
      <w:r w:rsidRPr="006A1237">
        <w:rPr>
          <w:color w:val="auto"/>
        </w:rPr>
        <w:t>.1 (Приложение №</w:t>
      </w:r>
      <w:r>
        <w:rPr>
          <w:color w:val="auto"/>
        </w:rPr>
        <w:t xml:space="preserve"> 3</w:t>
      </w:r>
      <w:r w:rsidRPr="006A1237">
        <w:rPr>
          <w:color w:val="auto"/>
        </w:rPr>
        <w:t xml:space="preserve">), а также оценку результативности муниципальной Подпрограммы по Форме </w:t>
      </w:r>
      <w:r>
        <w:rPr>
          <w:color w:val="auto"/>
        </w:rPr>
        <w:t>3</w:t>
      </w:r>
      <w:r w:rsidRPr="006A1237">
        <w:rPr>
          <w:color w:val="auto"/>
        </w:rPr>
        <w:t>.2 (Приложение №</w:t>
      </w:r>
      <w:r>
        <w:rPr>
          <w:color w:val="auto"/>
        </w:rPr>
        <w:t xml:space="preserve"> 3</w:t>
      </w:r>
      <w:r w:rsidRPr="006A1237">
        <w:rPr>
          <w:color w:val="auto"/>
        </w:rPr>
        <w:t xml:space="preserve">). Результаты оценки эффективности Подпрограммы отражаются в Форме </w:t>
      </w:r>
      <w:r>
        <w:rPr>
          <w:color w:val="auto"/>
        </w:rPr>
        <w:t>3</w:t>
      </w:r>
      <w:r w:rsidRPr="006A1237">
        <w:rPr>
          <w:color w:val="auto"/>
        </w:rPr>
        <w:t>.3 (Приложение №</w:t>
      </w:r>
      <w:r>
        <w:rPr>
          <w:color w:val="auto"/>
        </w:rPr>
        <w:t xml:space="preserve"> 3</w:t>
      </w:r>
      <w:r w:rsidRPr="006A1237">
        <w:rPr>
          <w:color w:val="auto"/>
        </w:rPr>
        <w:t>).</w:t>
      </w:r>
    </w:p>
    <w:p w:rsidR="008F0BED" w:rsidRPr="00B26293" w:rsidRDefault="008F0BED" w:rsidP="00B26293">
      <w:pPr>
        <w:ind w:firstLine="540"/>
        <w:jc w:val="both"/>
        <w:rPr>
          <w:color w:val="auto"/>
        </w:rPr>
        <w:sectPr w:rsidR="008F0BED" w:rsidRPr="00B26293" w:rsidSect="00871000">
          <w:pgSz w:w="11907" w:h="16840" w:code="9"/>
          <w:pgMar w:top="1134" w:right="708" w:bottom="1985" w:left="1843" w:header="709" w:footer="709" w:gutter="0"/>
          <w:cols w:space="708"/>
          <w:docGrid w:linePitch="360"/>
        </w:sectPr>
      </w:pPr>
      <w:r w:rsidRPr="006A1237">
        <w:rPr>
          <w:color w:val="auto"/>
        </w:rPr>
        <w:t>По результатам проведенной оценки, администрацией может быть принято решение о необходимости прекращения или об изменении, начиная с очередного финансового года ранее утвержденной Подпрограммы, в том числе необходимости изменения объема бюджетных ассигнований на финансовое обеспечение реализации Подпрограммы.</w:t>
      </w:r>
    </w:p>
    <w:p w:rsidR="008F0BED" w:rsidRDefault="008F0BED" w:rsidP="006A1237"/>
    <w:p w:rsidR="008F0BED" w:rsidRPr="006A17AA" w:rsidRDefault="008F0BED" w:rsidP="006A1237">
      <w:pPr>
        <w:pStyle w:val="NoSpacing"/>
        <w:tabs>
          <w:tab w:val="center" w:pos="5954"/>
          <w:tab w:val="right" w:pos="102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7A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F0BED" w:rsidRPr="00BB26E5" w:rsidRDefault="008F0BED" w:rsidP="006A1237">
      <w:pPr>
        <w:ind w:firstLine="698"/>
        <w:jc w:val="right"/>
        <w:rPr>
          <w:b/>
          <w:bCs/>
        </w:rPr>
      </w:pPr>
      <w:r w:rsidRPr="00BB26E5">
        <w:rPr>
          <w:rStyle w:val="a"/>
          <w:b w:val="0"/>
          <w:bCs w:val="0"/>
        </w:rPr>
        <w:t xml:space="preserve">к </w:t>
      </w:r>
      <w:hyperlink r:id="rId20" w:anchor="sub_10000#sub_10000" w:history="1">
        <w:r w:rsidRPr="00BB26E5">
          <w:rPr>
            <w:rStyle w:val="a0"/>
            <w:b w:val="0"/>
            <w:bCs w:val="0"/>
          </w:rPr>
          <w:t>муниципальной программе</w:t>
        </w:r>
      </w:hyperlink>
    </w:p>
    <w:p w:rsidR="008F0BED" w:rsidRPr="00BB26E5" w:rsidRDefault="008F0BED" w:rsidP="006A1237">
      <w:pPr>
        <w:ind w:firstLine="698"/>
        <w:jc w:val="right"/>
        <w:rPr>
          <w:rStyle w:val="a"/>
          <w:b w:val="0"/>
          <w:bCs w:val="0"/>
        </w:rPr>
      </w:pPr>
      <w:r w:rsidRPr="00BB26E5">
        <w:rPr>
          <w:rStyle w:val="a"/>
          <w:b w:val="0"/>
          <w:bCs w:val="0"/>
        </w:rPr>
        <w:t xml:space="preserve">«Развитие образования на территории </w:t>
      </w:r>
    </w:p>
    <w:p w:rsidR="008F0BED" w:rsidRPr="00BB26E5" w:rsidRDefault="008F0BED" w:rsidP="006A1237">
      <w:pPr>
        <w:ind w:firstLine="698"/>
        <w:jc w:val="right"/>
        <w:rPr>
          <w:b/>
          <w:bCs/>
        </w:rPr>
      </w:pPr>
      <w:r w:rsidRPr="00BB26E5">
        <w:rPr>
          <w:rStyle w:val="a"/>
          <w:b w:val="0"/>
          <w:bCs w:val="0"/>
        </w:rPr>
        <w:t xml:space="preserve">муниципального образования Ясненский </w:t>
      </w:r>
    </w:p>
    <w:p w:rsidR="008F0BED" w:rsidRPr="00BB26E5" w:rsidRDefault="008F0BED" w:rsidP="006A1237">
      <w:pPr>
        <w:ind w:firstLine="698"/>
        <w:jc w:val="right"/>
        <w:rPr>
          <w:rStyle w:val="a"/>
          <w:b w:val="0"/>
          <w:bCs w:val="0"/>
        </w:rPr>
      </w:pPr>
      <w:r w:rsidRPr="00BB26E5">
        <w:rPr>
          <w:rStyle w:val="a"/>
          <w:b w:val="0"/>
          <w:bCs w:val="0"/>
        </w:rPr>
        <w:t>район на 2015 - 2020 годы»</w:t>
      </w:r>
    </w:p>
    <w:p w:rsidR="008F0BED" w:rsidRPr="00BB26E5" w:rsidRDefault="008F0BED" w:rsidP="006A1237"/>
    <w:p w:rsidR="008F0BED" w:rsidRDefault="008F0BED" w:rsidP="006A1237">
      <w:pPr>
        <w:jc w:val="right"/>
        <w:rPr>
          <w:b/>
          <w:bCs/>
        </w:rPr>
      </w:pPr>
    </w:p>
    <w:p w:rsidR="008F0BED" w:rsidRDefault="008F0BED" w:rsidP="006A1237">
      <w:pPr>
        <w:jc w:val="center"/>
        <w:rPr>
          <w:b/>
          <w:bCs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3</w:t>
      </w:r>
      <w:r w:rsidRPr="002A23C6">
        <w:rPr>
          <w:b/>
          <w:bCs/>
          <w:sz w:val="22"/>
          <w:szCs w:val="22"/>
        </w:rPr>
        <w:t>.1</w:t>
      </w:r>
    </w:p>
    <w:p w:rsidR="008F0BED" w:rsidRDefault="008F0BED" w:rsidP="006A1237">
      <w:pPr>
        <w:jc w:val="center"/>
        <w:rPr>
          <w:b/>
          <w:bCs/>
          <w:sz w:val="22"/>
          <w:szCs w:val="22"/>
        </w:rPr>
      </w:pPr>
    </w:p>
    <w:p w:rsidR="008F0BED" w:rsidRPr="00CB221A" w:rsidRDefault="008F0BED" w:rsidP="006A1237">
      <w:pPr>
        <w:jc w:val="center"/>
      </w:pPr>
      <w:r w:rsidRPr="00CB221A">
        <w:t>Анализ объемов финансирования мероприятий Подпрограммы</w:t>
      </w: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tbl>
      <w:tblPr>
        <w:tblW w:w="15559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9"/>
        <w:gridCol w:w="3151"/>
        <w:gridCol w:w="2785"/>
        <w:gridCol w:w="1175"/>
        <w:gridCol w:w="1941"/>
        <w:gridCol w:w="992"/>
        <w:gridCol w:w="992"/>
        <w:gridCol w:w="1480"/>
        <w:gridCol w:w="2474"/>
      </w:tblGrid>
      <w:tr w:rsidR="008F0BED" w:rsidTr="00B26293">
        <w:trPr>
          <w:trHeight w:hRule="exact" w:val="114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after="60" w:line="210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№</w:t>
            </w:r>
          </w:p>
          <w:p w:rsidR="008F0BED" w:rsidRPr="00FA044B" w:rsidRDefault="008F0BED" w:rsidP="00F114CF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п/п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rStyle w:val="101"/>
                <w:b w:val="0"/>
                <w:bCs w:val="0"/>
              </w:rPr>
            </w:pPr>
            <w:r w:rsidRPr="00FA044B">
              <w:rPr>
                <w:rStyle w:val="101"/>
                <w:b w:val="0"/>
                <w:bCs w:val="0"/>
              </w:rPr>
              <w:t>Наименование мероприятия, запланированного</w:t>
            </w:r>
          </w:p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 xml:space="preserve"> в отчетном году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Плановый срок вы</w:t>
            </w:r>
            <w:r w:rsidRPr="00FA044B">
              <w:rPr>
                <w:rStyle w:val="101"/>
                <w:b w:val="0"/>
                <w:bCs w:val="0"/>
              </w:rPr>
              <w:softHyphen/>
              <w:t>полнения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Фактический срок выполнения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7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Причины несвоевременного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Объем финансирования за счет средств бюджета,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Отклонение планового объема финансирования от фактического, %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Причины отклонения объема финансирования</w:t>
            </w:r>
          </w:p>
        </w:tc>
      </w:tr>
      <w:tr w:rsidR="008F0BED" w:rsidTr="00B26293">
        <w:trPr>
          <w:trHeight w:hRule="exact" w:val="284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/>
        </w:tc>
        <w:tc>
          <w:tcPr>
            <w:tcW w:w="31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  <w:tc>
          <w:tcPr>
            <w:tcW w:w="27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FA044B" w:rsidRDefault="008F0BED" w:rsidP="00F114CF">
            <w:pPr>
              <w:pStyle w:val="1"/>
              <w:shd w:val="clear" w:color="auto" w:fill="auto"/>
              <w:spacing w:line="210" w:lineRule="exact"/>
              <w:ind w:left="300"/>
              <w:rPr>
                <w:b/>
                <w:bCs/>
              </w:rPr>
            </w:pPr>
            <w:r w:rsidRPr="00FA044B">
              <w:rPr>
                <w:rStyle w:val="101"/>
                <w:b w:val="0"/>
                <w:bCs w:val="0"/>
              </w:rPr>
              <w:t>факт</w:t>
            </w: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</w:pPr>
          </w:p>
        </w:tc>
      </w:tr>
      <w:tr w:rsidR="008F0BED" w:rsidTr="00B26293">
        <w:trPr>
          <w:trHeight w:hRule="exact" w:val="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outlineLvl w:val="4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</w:tr>
      <w:tr w:rsidR="008F0BED" w:rsidTr="00B26293">
        <w:trPr>
          <w:trHeight w:hRule="exact"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07551C" w:rsidRDefault="008F0BED" w:rsidP="00F114CF">
            <w:pPr>
              <w:outlineLvl w:val="4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</w:tr>
      <w:tr w:rsidR="008F0BED" w:rsidTr="00B26293">
        <w:trPr>
          <w:trHeight w:hRule="exact" w:val="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07551C" w:rsidRDefault="008F0BED" w:rsidP="00F114CF">
            <w:pPr>
              <w:outlineLvl w:val="4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</w:tr>
      <w:tr w:rsidR="008F0BED" w:rsidTr="00B26293">
        <w:trPr>
          <w:trHeight w:hRule="exact"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0"/>
              </w:rPr>
              <w:t>Итого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93C1C" w:rsidRDefault="008F0BED" w:rsidP="00F114CF">
            <w:pPr>
              <w:jc w:val="center"/>
            </w:pPr>
          </w:p>
        </w:tc>
      </w:tr>
    </w:tbl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Pr="00B338B1" w:rsidRDefault="008F0BED" w:rsidP="006A123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3</w:t>
      </w:r>
      <w:r w:rsidRPr="00B338B1">
        <w:rPr>
          <w:b/>
          <w:bCs/>
          <w:sz w:val="22"/>
          <w:szCs w:val="22"/>
        </w:rPr>
        <w:t>.2</w:t>
      </w: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Pr="00CB221A" w:rsidRDefault="008F0BED" w:rsidP="006A1237">
      <w:pPr>
        <w:jc w:val="center"/>
      </w:pPr>
      <w:r w:rsidRPr="00CB221A">
        <w:t>Оценка результативности Подпрограммы за 20___г.</w:t>
      </w:r>
    </w:p>
    <w:p w:rsidR="008F0BED" w:rsidRDefault="008F0BED" w:rsidP="006A1237">
      <w:pPr>
        <w:jc w:val="center"/>
        <w:rPr>
          <w:b/>
          <w:bCs/>
          <w:sz w:val="22"/>
          <w:szCs w:val="22"/>
        </w:rPr>
      </w:pPr>
    </w:p>
    <w:tbl>
      <w:tblPr>
        <w:tblW w:w="1524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97"/>
        <w:gridCol w:w="9355"/>
        <w:gridCol w:w="992"/>
        <w:gridCol w:w="1134"/>
        <w:gridCol w:w="1276"/>
        <w:gridCol w:w="2090"/>
      </w:tblGrid>
      <w:tr w:rsidR="008F0BED">
        <w:trPr>
          <w:trHeight w:hRule="exact" w:val="60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9D42A8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sz w:val="20"/>
                <w:szCs w:val="20"/>
              </w:rPr>
            </w:pPr>
            <w:r w:rsidRPr="009D42A8">
              <w:rPr>
                <w:rStyle w:val="101"/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sz w:val="20"/>
                <w:szCs w:val="20"/>
              </w:rPr>
            </w:pPr>
            <w:r w:rsidRPr="00B97AFE">
              <w:rPr>
                <w:rStyle w:val="101"/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b/>
                <w:bCs/>
                <w:sz w:val="20"/>
                <w:szCs w:val="20"/>
              </w:rPr>
            </w:pPr>
            <w:r w:rsidRPr="00B97AFE">
              <w:rPr>
                <w:rStyle w:val="101"/>
                <w:b w:val="0"/>
                <w:bCs w:val="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pStyle w:val="1"/>
              <w:shd w:val="clear" w:color="auto" w:fill="auto"/>
              <w:spacing w:line="270" w:lineRule="exact"/>
              <w:jc w:val="center"/>
              <w:rPr>
                <w:b/>
                <w:bCs/>
                <w:sz w:val="20"/>
                <w:szCs w:val="20"/>
              </w:rPr>
            </w:pPr>
            <w:r w:rsidRPr="00B97AFE">
              <w:rPr>
                <w:rStyle w:val="101"/>
                <w:b w:val="0"/>
                <w:bCs w:val="0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sz w:val="20"/>
                <w:szCs w:val="20"/>
              </w:rPr>
            </w:pPr>
            <w:r w:rsidRPr="00B97AFE">
              <w:rPr>
                <w:rStyle w:val="101"/>
                <w:b w:val="0"/>
                <w:bCs w:val="0"/>
                <w:sz w:val="20"/>
                <w:szCs w:val="20"/>
              </w:rPr>
              <w:t>Фактическое значение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pStyle w:val="1"/>
              <w:shd w:val="clear" w:color="auto" w:fill="auto"/>
              <w:spacing w:line="274" w:lineRule="exact"/>
              <w:jc w:val="center"/>
              <w:rPr>
                <w:b/>
                <w:bCs/>
                <w:sz w:val="20"/>
                <w:szCs w:val="20"/>
              </w:rPr>
            </w:pPr>
            <w:r w:rsidRPr="00B97AFE">
              <w:rPr>
                <w:rStyle w:val="101"/>
                <w:b w:val="0"/>
                <w:bCs w:val="0"/>
                <w:sz w:val="20"/>
                <w:szCs w:val="20"/>
              </w:rPr>
              <w:t>Причины отклонения</w:t>
            </w:r>
          </w:p>
        </w:tc>
      </w:tr>
      <w:tr w:rsidR="008F0BED">
        <w:trPr>
          <w:trHeight w:hRule="exact" w:val="28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D16616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 w:rsidRPr="00D16616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hRule="exact" w:val="30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D16616" w:rsidRDefault="008F0BED" w:rsidP="00F114CF">
            <w:pPr>
              <w:pStyle w:val="1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B97AFE" w:rsidRDefault="008F0BED" w:rsidP="00F114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</w:tbl>
    <w:p w:rsidR="008F0BED" w:rsidRDefault="008F0BED" w:rsidP="006A1237">
      <w:pPr>
        <w:jc w:val="center"/>
        <w:rPr>
          <w:b/>
          <w:bCs/>
          <w:sz w:val="22"/>
          <w:szCs w:val="22"/>
        </w:rPr>
      </w:pPr>
    </w:p>
    <w:p w:rsidR="008F0BED" w:rsidRDefault="008F0BED" w:rsidP="006A1237">
      <w:pPr>
        <w:jc w:val="center"/>
        <w:rPr>
          <w:b/>
          <w:bCs/>
          <w:sz w:val="22"/>
          <w:szCs w:val="22"/>
        </w:rPr>
      </w:pPr>
    </w:p>
    <w:p w:rsidR="008F0BED" w:rsidRDefault="008F0BED" w:rsidP="006A123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3</w:t>
      </w:r>
      <w:r w:rsidRPr="002A23C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</w:p>
    <w:p w:rsidR="008F0BED" w:rsidRPr="00CB221A" w:rsidRDefault="008F0BED" w:rsidP="006A1237">
      <w:pPr>
        <w:jc w:val="center"/>
      </w:pPr>
      <w:r w:rsidRPr="00CB221A">
        <w:t>Оценка эффективности реализации Подпрограммы за 20___г.</w:t>
      </w:r>
    </w:p>
    <w:p w:rsidR="008F0BED" w:rsidRDefault="008F0BED" w:rsidP="006A1237">
      <w:pPr>
        <w:jc w:val="center"/>
        <w:rPr>
          <w:b/>
          <w:bCs/>
          <w:sz w:val="22"/>
          <w:szCs w:val="22"/>
        </w:rPr>
      </w:pPr>
    </w:p>
    <w:tbl>
      <w:tblPr>
        <w:tblW w:w="154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0910"/>
        <w:gridCol w:w="2126"/>
        <w:gridCol w:w="2410"/>
      </w:tblGrid>
      <w:tr w:rsidR="008F0BED">
        <w:trPr>
          <w:trHeight w:hRule="exact" w:val="503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1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1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ind w:left="200"/>
              <w:jc w:val="center"/>
            </w:pPr>
            <w:r>
              <w:rPr>
                <w:rStyle w:val="101"/>
              </w:rPr>
              <w:t>Значение показателя</w:t>
            </w: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81" w:lineRule="exact"/>
              <w:ind w:left="120"/>
            </w:pPr>
            <w:r>
              <w:rPr>
                <w:rStyle w:val="10"/>
              </w:rPr>
              <w:t xml:space="preserve">Общее количество индикаторов результативности, запланированных к достижению в отчетном году </w:t>
            </w:r>
            <w:r w:rsidRPr="008B3591">
              <w:rPr>
                <w:rStyle w:val="6"/>
                <w:sz w:val="18"/>
                <w:szCs w:val="18"/>
              </w:rPr>
              <w:t>(</w:t>
            </w:r>
            <w:r w:rsidRPr="008B3591">
              <w:rPr>
                <w:rStyle w:val="6"/>
                <w:sz w:val="20"/>
                <w:szCs w:val="20"/>
              </w:rPr>
              <w:t>И</w:t>
            </w:r>
            <w:r>
              <w:rPr>
                <w:rStyle w:val="6"/>
                <w:sz w:val="20"/>
                <w:szCs w:val="20"/>
              </w:rPr>
              <w:t xml:space="preserve"> </w:t>
            </w:r>
            <w:r w:rsidRPr="008B3591">
              <w:rPr>
                <w:rStyle w:val="6"/>
                <w:sz w:val="20"/>
                <w:szCs w:val="20"/>
                <w:vertAlign w:val="subscript"/>
              </w:rPr>
              <w:t>план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81" w:lineRule="exact"/>
              <w:ind w:left="120"/>
            </w:pPr>
            <w:r>
              <w:rPr>
                <w:rStyle w:val="10"/>
              </w:rPr>
              <w:t xml:space="preserve">Количество индикаторов результативности, фактически достигнутых в отчетном году </w:t>
            </w:r>
            <w:r w:rsidRPr="008B3591">
              <w:rPr>
                <w:rStyle w:val="6"/>
                <w:sz w:val="18"/>
                <w:szCs w:val="18"/>
              </w:rPr>
              <w:t>(</w:t>
            </w:r>
            <w:r w:rsidRPr="008B3591">
              <w:rPr>
                <w:rStyle w:val="6"/>
                <w:sz w:val="22"/>
                <w:szCs w:val="22"/>
              </w:rPr>
              <w:t>И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 w:rsidRPr="008B3591">
              <w:rPr>
                <w:rStyle w:val="6"/>
                <w:sz w:val="22"/>
                <w:szCs w:val="22"/>
                <w:vertAlign w:val="subscript"/>
              </w:rPr>
              <w:t>факт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306" w:lineRule="exact"/>
              <w:ind w:left="120"/>
            </w:pPr>
            <w:r>
              <w:rPr>
                <w:rStyle w:val="10"/>
              </w:rPr>
              <w:t xml:space="preserve">Общее количество мероприятий, запланированных в отчетном </w:t>
            </w:r>
            <w:r>
              <w:rPr>
                <w:rStyle w:val="7pt"/>
              </w:rPr>
              <w:t xml:space="preserve">ГОДУ </w:t>
            </w:r>
            <w:r w:rsidRPr="008B3591">
              <w:rPr>
                <w:rStyle w:val="6"/>
                <w:sz w:val="20"/>
                <w:szCs w:val="20"/>
              </w:rPr>
              <w:t>(М</w:t>
            </w:r>
            <w:r>
              <w:rPr>
                <w:rStyle w:val="6"/>
                <w:sz w:val="20"/>
                <w:szCs w:val="20"/>
              </w:rPr>
              <w:t xml:space="preserve"> </w:t>
            </w:r>
            <w:r w:rsidRPr="008B3591">
              <w:rPr>
                <w:rStyle w:val="6"/>
                <w:sz w:val="14"/>
                <w:szCs w:val="14"/>
              </w:rPr>
              <w:t>план</w:t>
            </w:r>
            <w:r w:rsidRPr="008B3591">
              <w:rPr>
                <w:rStyle w:val="6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77" w:lineRule="exact"/>
              <w:ind w:left="120"/>
            </w:pPr>
            <w:r>
              <w:rPr>
                <w:rStyle w:val="10"/>
              </w:rPr>
              <w:t xml:space="preserve">Количество мероприятий, запланированных в отчетном году, выполненных в установленные сроки </w:t>
            </w:r>
            <w:r w:rsidRPr="008B3591">
              <w:rPr>
                <w:rStyle w:val="6"/>
                <w:sz w:val="18"/>
                <w:szCs w:val="18"/>
              </w:rPr>
              <w:t>(М</w:t>
            </w:r>
            <w:r>
              <w:rPr>
                <w:rStyle w:val="6"/>
                <w:sz w:val="18"/>
                <w:szCs w:val="18"/>
              </w:rPr>
              <w:t xml:space="preserve"> </w:t>
            </w:r>
            <w:r>
              <w:rPr>
                <w:rStyle w:val="6"/>
                <w:sz w:val="18"/>
                <w:szCs w:val="18"/>
                <w:vertAlign w:val="subscript"/>
              </w:rPr>
              <w:t>факт</w:t>
            </w:r>
            <w:r w:rsidRPr="008B3591">
              <w:rPr>
                <w:rStyle w:val="6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77" w:lineRule="exact"/>
              <w:ind w:left="120"/>
            </w:pPr>
            <w:r>
              <w:rPr>
                <w:rStyle w:val="10"/>
              </w:rPr>
              <w:t xml:space="preserve">Плановая сумма бюджетных ассигнований на реализацию Подпрограммы на отчетный год </w:t>
            </w:r>
            <w:r w:rsidRPr="008B3591">
              <w:rPr>
                <w:rStyle w:val="6"/>
                <w:sz w:val="22"/>
                <w:szCs w:val="22"/>
              </w:rPr>
              <w:t>(З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  <w:vertAlign w:val="subscript"/>
              </w:rPr>
              <w:t>пл</w:t>
            </w:r>
            <w:r w:rsidRPr="008B3591">
              <w:rPr>
                <w:rStyle w:val="6"/>
                <w:sz w:val="22"/>
                <w:szCs w:val="22"/>
                <w:vertAlign w:val="subscript"/>
              </w:rPr>
              <w:t>ан</w:t>
            </w:r>
            <w:r w:rsidRPr="008B3591">
              <w:rPr>
                <w:rStyle w:val="6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  <w:tr w:rsidR="008F0BED">
        <w:trPr>
          <w:trHeight w:val="306"/>
          <w:jc w:val="center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77" w:lineRule="exact"/>
              <w:ind w:left="120"/>
            </w:pPr>
            <w:r>
              <w:rPr>
                <w:rStyle w:val="10"/>
              </w:rPr>
              <w:t xml:space="preserve">Кассовые расходы на реализацию Подпрограммы на отчетный год </w:t>
            </w:r>
            <w:r w:rsidRPr="008B3591">
              <w:rPr>
                <w:rStyle w:val="6"/>
                <w:sz w:val="22"/>
                <w:szCs w:val="22"/>
              </w:rPr>
              <w:t>(З</w:t>
            </w:r>
            <w:r>
              <w:rPr>
                <w:rStyle w:val="6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  <w:vertAlign w:val="subscript"/>
              </w:rPr>
              <w:t>факт</w:t>
            </w:r>
            <w:r w:rsidRPr="008B3591">
              <w:rPr>
                <w:rStyle w:val="6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0BED" w:rsidRDefault="008F0BED" w:rsidP="00F114CF">
            <w:pPr>
              <w:pStyle w:val="1"/>
              <w:shd w:val="clear" w:color="auto" w:fill="auto"/>
              <w:spacing w:line="210" w:lineRule="exact"/>
              <w:jc w:val="center"/>
            </w:pPr>
            <w:r>
              <w:rPr>
                <w:rStyle w:val="10"/>
              </w:rPr>
              <w:t>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BED" w:rsidRPr="00CD0AF5" w:rsidRDefault="008F0BED" w:rsidP="00F114CF">
            <w:pPr>
              <w:jc w:val="center"/>
            </w:pPr>
          </w:p>
        </w:tc>
      </w:tr>
    </w:tbl>
    <w:p w:rsidR="008F0BED" w:rsidRDefault="008F0BED" w:rsidP="006A1237">
      <w:pPr>
        <w:jc w:val="right"/>
        <w:rPr>
          <w:b/>
          <w:bCs/>
          <w:sz w:val="22"/>
          <w:szCs w:val="22"/>
        </w:rPr>
      </w:pPr>
    </w:p>
    <w:p w:rsidR="008F0BED" w:rsidRDefault="008F0BED" w:rsidP="006A1237">
      <w:pPr>
        <w:spacing w:line="360" w:lineRule="auto"/>
      </w:pPr>
      <w:r>
        <w:t xml:space="preserve">Оценка эффективности Подпрограммы: </w:t>
      </w:r>
      <w:r>
        <w:rPr>
          <w:rStyle w:val="60"/>
        </w:rPr>
        <w:t xml:space="preserve">Эи =Щ </w:t>
      </w:r>
      <w:r w:rsidRPr="00A06FC4">
        <w:rPr>
          <w:rStyle w:val="60"/>
          <w:vertAlign w:val="subscript"/>
        </w:rPr>
        <w:t>ф</w:t>
      </w:r>
      <w:r>
        <w:rPr>
          <w:rStyle w:val="60"/>
          <w:vertAlign w:val="subscript"/>
        </w:rPr>
        <w:t xml:space="preserve">акт </w:t>
      </w:r>
      <w:r>
        <w:rPr>
          <w:rStyle w:val="60"/>
        </w:rPr>
        <w:t xml:space="preserve">/ И </w:t>
      </w:r>
      <w:r>
        <w:rPr>
          <w:rStyle w:val="60"/>
          <w:vertAlign w:val="subscript"/>
        </w:rPr>
        <w:t>план</w:t>
      </w:r>
      <w:r>
        <w:rPr>
          <w:rStyle w:val="60"/>
        </w:rPr>
        <w:t>*100%</w:t>
      </w:r>
    </w:p>
    <w:p w:rsidR="008F0BED" w:rsidRDefault="008F0BED" w:rsidP="006A1237">
      <w:pPr>
        <w:spacing w:line="360" w:lineRule="auto"/>
        <w:rPr>
          <w:rStyle w:val="60"/>
        </w:rPr>
      </w:pPr>
      <w:r>
        <w:t xml:space="preserve">Оценка своевременности выполнения Подпрограммы: </w:t>
      </w:r>
      <w:r>
        <w:rPr>
          <w:rStyle w:val="60"/>
        </w:rPr>
        <w:t xml:space="preserve">Эв=М </w:t>
      </w:r>
      <w:r w:rsidRPr="009D42A8">
        <w:rPr>
          <w:rStyle w:val="60"/>
          <w:sz w:val="14"/>
          <w:szCs w:val="14"/>
        </w:rPr>
        <w:t>факт</w:t>
      </w:r>
      <w:r>
        <w:rPr>
          <w:rStyle w:val="60"/>
          <w:sz w:val="14"/>
          <w:szCs w:val="14"/>
        </w:rPr>
        <w:t xml:space="preserve"> </w:t>
      </w:r>
      <w:r>
        <w:rPr>
          <w:rStyle w:val="60"/>
        </w:rPr>
        <w:t xml:space="preserve">/М </w:t>
      </w:r>
      <w:r>
        <w:rPr>
          <w:rStyle w:val="60"/>
          <w:vertAlign w:val="subscript"/>
        </w:rPr>
        <w:t>план</w:t>
      </w:r>
      <w:r>
        <w:rPr>
          <w:rStyle w:val="60"/>
        </w:rPr>
        <w:t>*100%</w:t>
      </w:r>
    </w:p>
    <w:tbl>
      <w:tblPr>
        <w:tblpPr w:leftFromText="180" w:rightFromText="180" w:vertAnchor="text" w:horzAnchor="page" w:tblpX="5674" w:tblpY="217"/>
        <w:tblOverlap w:val="never"/>
        <w:tblW w:w="0" w:type="auto"/>
        <w:tblLook w:val="00A0"/>
      </w:tblPr>
      <w:tblGrid>
        <w:gridCol w:w="675"/>
        <w:gridCol w:w="1560"/>
        <w:gridCol w:w="1010"/>
      </w:tblGrid>
      <w:tr w:rsidR="008F0BED">
        <w:tc>
          <w:tcPr>
            <w:tcW w:w="675" w:type="dxa"/>
            <w:vMerge w:val="restart"/>
            <w:vAlign w:val="center"/>
          </w:tcPr>
          <w:p w:rsidR="008F0BED" w:rsidRPr="009D42A8" w:rsidRDefault="008F0BED" w:rsidP="00F114CF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>Эб =</w:t>
            </w:r>
          </w:p>
        </w:tc>
        <w:tc>
          <w:tcPr>
            <w:tcW w:w="1560" w:type="dxa"/>
            <w:vAlign w:val="bottom"/>
          </w:tcPr>
          <w:p w:rsidR="008F0BED" w:rsidRPr="009D42A8" w:rsidRDefault="008F0BED" w:rsidP="00F114CF">
            <w:pPr>
              <w:spacing w:line="360" w:lineRule="auto"/>
              <w:jc w:val="center"/>
              <w:rPr>
                <w:i/>
                <w:iCs/>
                <w:u w:val="single"/>
              </w:rPr>
            </w:pPr>
            <w:r w:rsidRPr="009D42A8">
              <w:rPr>
                <w:i/>
                <w:iCs/>
                <w:u w:val="single"/>
              </w:rPr>
              <w:t xml:space="preserve">(И </w:t>
            </w:r>
            <w:r w:rsidRPr="009D42A8">
              <w:rPr>
                <w:i/>
                <w:iCs/>
                <w:sz w:val="14"/>
                <w:szCs w:val="14"/>
                <w:u w:val="single"/>
              </w:rPr>
              <w:t>факт</w:t>
            </w:r>
            <w:r w:rsidRPr="009D42A8">
              <w:rPr>
                <w:i/>
                <w:iCs/>
                <w:u w:val="single"/>
              </w:rPr>
              <w:t xml:space="preserve"> / И </w:t>
            </w:r>
            <w:r w:rsidRPr="009D42A8">
              <w:rPr>
                <w:i/>
                <w:iCs/>
                <w:sz w:val="14"/>
                <w:szCs w:val="14"/>
                <w:u w:val="single"/>
              </w:rPr>
              <w:t>план</w:t>
            </w:r>
            <w:r w:rsidRPr="009D42A8">
              <w:rPr>
                <w:i/>
                <w:iCs/>
                <w:u w:val="single"/>
              </w:rPr>
              <w:t>)</w:t>
            </w:r>
          </w:p>
        </w:tc>
        <w:tc>
          <w:tcPr>
            <w:tcW w:w="783" w:type="dxa"/>
            <w:vMerge w:val="restart"/>
            <w:vAlign w:val="center"/>
          </w:tcPr>
          <w:p w:rsidR="008F0BED" w:rsidRPr="009D42A8" w:rsidRDefault="008F0BED" w:rsidP="00F114CF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>*100%</w:t>
            </w:r>
          </w:p>
        </w:tc>
      </w:tr>
      <w:tr w:rsidR="008F0BED">
        <w:tc>
          <w:tcPr>
            <w:tcW w:w="675" w:type="dxa"/>
            <w:vMerge/>
            <w:vAlign w:val="center"/>
          </w:tcPr>
          <w:p w:rsidR="008F0BED" w:rsidRDefault="008F0BED" w:rsidP="00F114CF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8F0BED" w:rsidRPr="009D42A8" w:rsidRDefault="008F0BED" w:rsidP="00F114CF">
            <w:pPr>
              <w:spacing w:line="360" w:lineRule="auto"/>
              <w:jc w:val="center"/>
              <w:rPr>
                <w:i/>
                <w:iCs/>
              </w:rPr>
            </w:pPr>
            <w:r w:rsidRPr="009D42A8">
              <w:rPr>
                <w:i/>
                <w:iCs/>
              </w:rPr>
              <w:t xml:space="preserve">(З </w:t>
            </w:r>
            <w:r w:rsidRPr="009D42A8">
              <w:rPr>
                <w:i/>
                <w:iCs/>
                <w:sz w:val="14"/>
                <w:szCs w:val="14"/>
              </w:rPr>
              <w:t>факт</w:t>
            </w:r>
            <w:r w:rsidRPr="009D42A8">
              <w:rPr>
                <w:i/>
                <w:iCs/>
              </w:rPr>
              <w:t xml:space="preserve"> / З </w:t>
            </w:r>
            <w:r w:rsidRPr="009D42A8">
              <w:rPr>
                <w:i/>
                <w:iCs/>
                <w:sz w:val="14"/>
                <w:szCs w:val="14"/>
              </w:rPr>
              <w:t xml:space="preserve">план </w:t>
            </w:r>
            <w:r w:rsidRPr="009D42A8">
              <w:rPr>
                <w:i/>
                <w:iCs/>
              </w:rPr>
              <w:t>)</w:t>
            </w:r>
          </w:p>
        </w:tc>
        <w:tc>
          <w:tcPr>
            <w:tcW w:w="783" w:type="dxa"/>
            <w:vMerge/>
          </w:tcPr>
          <w:p w:rsidR="008F0BED" w:rsidRDefault="008F0BED" w:rsidP="00F114CF">
            <w:pPr>
              <w:spacing w:line="360" w:lineRule="auto"/>
              <w:jc w:val="center"/>
            </w:pPr>
          </w:p>
        </w:tc>
      </w:tr>
    </w:tbl>
    <w:p w:rsidR="008F0BED" w:rsidRDefault="008F0BED" w:rsidP="006A1237">
      <w:pPr>
        <w:spacing w:line="360" w:lineRule="auto"/>
      </w:pPr>
    </w:p>
    <w:p w:rsidR="008F0BED" w:rsidRDefault="008F0BED" w:rsidP="006A1237">
      <w:pPr>
        <w:spacing w:line="360" w:lineRule="auto"/>
      </w:pPr>
      <w:r>
        <w:t xml:space="preserve">Оценка бюджетной эффективности Подпрограммы: </w:t>
      </w:r>
    </w:p>
    <w:p w:rsidR="008F0BED" w:rsidRDefault="008F0BED" w:rsidP="006A1237">
      <w:pPr>
        <w:spacing w:line="360" w:lineRule="auto"/>
      </w:pPr>
    </w:p>
    <w:p w:rsidR="008F0BED" w:rsidRDefault="008F0BED" w:rsidP="006A1237">
      <w:pPr>
        <w:spacing w:line="360" w:lineRule="auto"/>
        <w:rPr>
          <w:sz w:val="27"/>
          <w:szCs w:val="27"/>
        </w:rPr>
      </w:pPr>
      <w:r>
        <w:t xml:space="preserve">Итоговая оценка эффективности Подпрограммы: </w:t>
      </w:r>
      <w:r>
        <w:rPr>
          <w:rStyle w:val="61"/>
        </w:rPr>
        <w:t>И=0,6*Эи +0,1*Эв+0,3*Эб</w:t>
      </w: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  <w:sectPr w:rsidR="008F0BED" w:rsidSect="00B26293">
          <w:pgSz w:w="16840" w:h="11907" w:orient="landscape" w:code="9"/>
          <w:pgMar w:top="1843" w:right="1134" w:bottom="709" w:left="1985" w:header="709" w:footer="709" w:gutter="0"/>
          <w:cols w:space="708"/>
          <w:docGrid w:linePitch="360"/>
        </w:sect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AE3EC7">
      <w:pPr>
        <w:ind w:firstLine="709"/>
        <w:jc w:val="both"/>
        <w:rPr>
          <w:color w:val="auto"/>
        </w:rPr>
      </w:pPr>
    </w:p>
    <w:p w:rsidR="008F0BED" w:rsidRDefault="008F0BED" w:rsidP="004E79C8">
      <w:pPr>
        <w:jc w:val="both"/>
        <w:rPr>
          <w:color w:val="auto"/>
        </w:rPr>
        <w:sectPr w:rsidR="008F0BED" w:rsidSect="00871000">
          <w:pgSz w:w="11907" w:h="16840" w:code="9"/>
          <w:pgMar w:top="1134" w:right="708" w:bottom="1985" w:left="1843" w:header="709" w:footer="709" w:gutter="0"/>
          <w:cols w:space="708"/>
          <w:docGrid w:linePitch="360"/>
        </w:sectPr>
      </w:pPr>
    </w:p>
    <w:p w:rsidR="008F0BED" w:rsidRPr="00ED0DC8" w:rsidRDefault="008F0BED" w:rsidP="004E79C8">
      <w:pPr>
        <w:jc w:val="both"/>
        <w:rPr>
          <w:color w:val="auto"/>
        </w:rPr>
      </w:pPr>
    </w:p>
    <w:sectPr w:rsidR="008F0BED" w:rsidRPr="00ED0DC8" w:rsidSect="00E00DD2">
      <w:pgSz w:w="23814" w:h="16840" w:orient="landscape" w:code="9"/>
      <w:pgMar w:top="1135" w:right="1134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AF5"/>
    <w:rsid w:val="000010D7"/>
    <w:rsid w:val="00006C31"/>
    <w:rsid w:val="00011034"/>
    <w:rsid w:val="00020B89"/>
    <w:rsid w:val="0004128D"/>
    <w:rsid w:val="00054174"/>
    <w:rsid w:val="0007551C"/>
    <w:rsid w:val="000B06F3"/>
    <w:rsid w:val="000D7A85"/>
    <w:rsid w:val="000E35CC"/>
    <w:rsid w:val="000E6EC7"/>
    <w:rsid w:val="000E7526"/>
    <w:rsid w:val="000F3D3E"/>
    <w:rsid w:val="001008D5"/>
    <w:rsid w:val="001054E2"/>
    <w:rsid w:val="00143588"/>
    <w:rsid w:val="00143BA7"/>
    <w:rsid w:val="00150293"/>
    <w:rsid w:val="001510CE"/>
    <w:rsid w:val="001606CB"/>
    <w:rsid w:val="001639FC"/>
    <w:rsid w:val="00172E97"/>
    <w:rsid w:val="0017732A"/>
    <w:rsid w:val="00180D8B"/>
    <w:rsid w:val="00184C54"/>
    <w:rsid w:val="00193EE6"/>
    <w:rsid w:val="001A1332"/>
    <w:rsid w:val="001A1725"/>
    <w:rsid w:val="001A6BB2"/>
    <w:rsid w:val="001B0AF5"/>
    <w:rsid w:val="001B5F75"/>
    <w:rsid w:val="001B7925"/>
    <w:rsid w:val="00203732"/>
    <w:rsid w:val="002038F4"/>
    <w:rsid w:val="00205C52"/>
    <w:rsid w:val="002150E7"/>
    <w:rsid w:val="002209D0"/>
    <w:rsid w:val="00221D99"/>
    <w:rsid w:val="002407C7"/>
    <w:rsid w:val="00262C85"/>
    <w:rsid w:val="002775A2"/>
    <w:rsid w:val="00284B9C"/>
    <w:rsid w:val="00286BC2"/>
    <w:rsid w:val="002A23C6"/>
    <w:rsid w:val="002A4F92"/>
    <w:rsid w:val="002C30F2"/>
    <w:rsid w:val="002C40B0"/>
    <w:rsid w:val="002D156E"/>
    <w:rsid w:val="002E2B2F"/>
    <w:rsid w:val="00306F6B"/>
    <w:rsid w:val="003166F8"/>
    <w:rsid w:val="0032715E"/>
    <w:rsid w:val="003406CD"/>
    <w:rsid w:val="00340869"/>
    <w:rsid w:val="0034529C"/>
    <w:rsid w:val="00360D86"/>
    <w:rsid w:val="00381319"/>
    <w:rsid w:val="00383481"/>
    <w:rsid w:val="0038494A"/>
    <w:rsid w:val="00396F36"/>
    <w:rsid w:val="003C3361"/>
    <w:rsid w:val="003C49A2"/>
    <w:rsid w:val="003C5FF0"/>
    <w:rsid w:val="003D57CE"/>
    <w:rsid w:val="00401B5D"/>
    <w:rsid w:val="00432CE9"/>
    <w:rsid w:val="004411E0"/>
    <w:rsid w:val="0044766D"/>
    <w:rsid w:val="004C26EB"/>
    <w:rsid w:val="004C445B"/>
    <w:rsid w:val="004D2142"/>
    <w:rsid w:val="004E3110"/>
    <w:rsid w:val="004E79C8"/>
    <w:rsid w:val="004F18BB"/>
    <w:rsid w:val="004F2EBD"/>
    <w:rsid w:val="00507E63"/>
    <w:rsid w:val="00521F61"/>
    <w:rsid w:val="005312B0"/>
    <w:rsid w:val="005368B3"/>
    <w:rsid w:val="00596514"/>
    <w:rsid w:val="005B4B42"/>
    <w:rsid w:val="005B622D"/>
    <w:rsid w:val="005C602F"/>
    <w:rsid w:val="005F2A0B"/>
    <w:rsid w:val="00600E13"/>
    <w:rsid w:val="00601503"/>
    <w:rsid w:val="0060541B"/>
    <w:rsid w:val="00620538"/>
    <w:rsid w:val="00622317"/>
    <w:rsid w:val="006244E1"/>
    <w:rsid w:val="00625B4A"/>
    <w:rsid w:val="00635D09"/>
    <w:rsid w:val="00640874"/>
    <w:rsid w:val="006412F1"/>
    <w:rsid w:val="00675CA1"/>
    <w:rsid w:val="006803D9"/>
    <w:rsid w:val="00682D00"/>
    <w:rsid w:val="00685503"/>
    <w:rsid w:val="006A1237"/>
    <w:rsid w:val="006A17AA"/>
    <w:rsid w:val="006A3124"/>
    <w:rsid w:val="006A6E40"/>
    <w:rsid w:val="006D7969"/>
    <w:rsid w:val="006E0EFC"/>
    <w:rsid w:val="006E23C1"/>
    <w:rsid w:val="006F230E"/>
    <w:rsid w:val="006F2A8A"/>
    <w:rsid w:val="006F5A43"/>
    <w:rsid w:val="00707EBF"/>
    <w:rsid w:val="007403A2"/>
    <w:rsid w:val="00741090"/>
    <w:rsid w:val="007808CE"/>
    <w:rsid w:val="00784889"/>
    <w:rsid w:val="007932E8"/>
    <w:rsid w:val="00794DC0"/>
    <w:rsid w:val="007A752F"/>
    <w:rsid w:val="007B2906"/>
    <w:rsid w:val="007B3C4E"/>
    <w:rsid w:val="007C0CE7"/>
    <w:rsid w:val="007D3725"/>
    <w:rsid w:val="007E016D"/>
    <w:rsid w:val="007E17BF"/>
    <w:rsid w:val="007E33AF"/>
    <w:rsid w:val="007E4476"/>
    <w:rsid w:val="007F33CE"/>
    <w:rsid w:val="0080150D"/>
    <w:rsid w:val="00802BD8"/>
    <w:rsid w:val="00805302"/>
    <w:rsid w:val="00824B51"/>
    <w:rsid w:val="008376D8"/>
    <w:rsid w:val="00844355"/>
    <w:rsid w:val="00844D62"/>
    <w:rsid w:val="00857992"/>
    <w:rsid w:val="00861D63"/>
    <w:rsid w:val="0086471F"/>
    <w:rsid w:val="0086550A"/>
    <w:rsid w:val="00865C01"/>
    <w:rsid w:val="00871000"/>
    <w:rsid w:val="008710F6"/>
    <w:rsid w:val="008751E5"/>
    <w:rsid w:val="008B3591"/>
    <w:rsid w:val="008B6A1F"/>
    <w:rsid w:val="008B7AD5"/>
    <w:rsid w:val="008E08E2"/>
    <w:rsid w:val="008F081E"/>
    <w:rsid w:val="008F0BED"/>
    <w:rsid w:val="008F3283"/>
    <w:rsid w:val="0090451C"/>
    <w:rsid w:val="00912809"/>
    <w:rsid w:val="00937005"/>
    <w:rsid w:val="00940EF0"/>
    <w:rsid w:val="00943537"/>
    <w:rsid w:val="00944FF1"/>
    <w:rsid w:val="009677C9"/>
    <w:rsid w:val="00971C64"/>
    <w:rsid w:val="009A155E"/>
    <w:rsid w:val="009B5AEC"/>
    <w:rsid w:val="009C1B27"/>
    <w:rsid w:val="009D28B4"/>
    <w:rsid w:val="009D3B02"/>
    <w:rsid w:val="009D42A8"/>
    <w:rsid w:val="00A06FC4"/>
    <w:rsid w:val="00A10BE4"/>
    <w:rsid w:val="00A131C2"/>
    <w:rsid w:val="00A16F78"/>
    <w:rsid w:val="00A25050"/>
    <w:rsid w:val="00A3171C"/>
    <w:rsid w:val="00A373BA"/>
    <w:rsid w:val="00A52D12"/>
    <w:rsid w:val="00A62163"/>
    <w:rsid w:val="00A90772"/>
    <w:rsid w:val="00A911B5"/>
    <w:rsid w:val="00A91238"/>
    <w:rsid w:val="00A91D63"/>
    <w:rsid w:val="00AA22B5"/>
    <w:rsid w:val="00AB648D"/>
    <w:rsid w:val="00AB7C7D"/>
    <w:rsid w:val="00AC0BA0"/>
    <w:rsid w:val="00AC0E40"/>
    <w:rsid w:val="00AC4423"/>
    <w:rsid w:val="00AE3EC7"/>
    <w:rsid w:val="00AF40AD"/>
    <w:rsid w:val="00AF434E"/>
    <w:rsid w:val="00B00609"/>
    <w:rsid w:val="00B06391"/>
    <w:rsid w:val="00B26293"/>
    <w:rsid w:val="00B338B1"/>
    <w:rsid w:val="00B51F5F"/>
    <w:rsid w:val="00B575F7"/>
    <w:rsid w:val="00B600B2"/>
    <w:rsid w:val="00B74A57"/>
    <w:rsid w:val="00B8320B"/>
    <w:rsid w:val="00B97AFE"/>
    <w:rsid w:val="00BA035E"/>
    <w:rsid w:val="00BA03F2"/>
    <w:rsid w:val="00BA70E9"/>
    <w:rsid w:val="00BB26E5"/>
    <w:rsid w:val="00BD4262"/>
    <w:rsid w:val="00BF57A1"/>
    <w:rsid w:val="00C2693B"/>
    <w:rsid w:val="00C47A01"/>
    <w:rsid w:val="00C5747B"/>
    <w:rsid w:val="00C66FD5"/>
    <w:rsid w:val="00C67047"/>
    <w:rsid w:val="00C903E8"/>
    <w:rsid w:val="00C93C1C"/>
    <w:rsid w:val="00CA1EEF"/>
    <w:rsid w:val="00CB221A"/>
    <w:rsid w:val="00CC724E"/>
    <w:rsid w:val="00CD0AF5"/>
    <w:rsid w:val="00CD1FD4"/>
    <w:rsid w:val="00CD2692"/>
    <w:rsid w:val="00CF4CB0"/>
    <w:rsid w:val="00D05CE8"/>
    <w:rsid w:val="00D161D3"/>
    <w:rsid w:val="00D16616"/>
    <w:rsid w:val="00D364AC"/>
    <w:rsid w:val="00D379E5"/>
    <w:rsid w:val="00D37C98"/>
    <w:rsid w:val="00D42567"/>
    <w:rsid w:val="00D42693"/>
    <w:rsid w:val="00D552BF"/>
    <w:rsid w:val="00D55E84"/>
    <w:rsid w:val="00D74732"/>
    <w:rsid w:val="00D86501"/>
    <w:rsid w:val="00D92411"/>
    <w:rsid w:val="00DB2185"/>
    <w:rsid w:val="00DC4C96"/>
    <w:rsid w:val="00DC5F43"/>
    <w:rsid w:val="00DC642E"/>
    <w:rsid w:val="00DD40A2"/>
    <w:rsid w:val="00DD6C68"/>
    <w:rsid w:val="00DE4857"/>
    <w:rsid w:val="00DF756A"/>
    <w:rsid w:val="00E00DD2"/>
    <w:rsid w:val="00E02206"/>
    <w:rsid w:val="00E0247A"/>
    <w:rsid w:val="00E5583C"/>
    <w:rsid w:val="00E614D8"/>
    <w:rsid w:val="00E66D42"/>
    <w:rsid w:val="00E74197"/>
    <w:rsid w:val="00E90067"/>
    <w:rsid w:val="00E928AA"/>
    <w:rsid w:val="00E92EAC"/>
    <w:rsid w:val="00EC3C09"/>
    <w:rsid w:val="00EC7E4C"/>
    <w:rsid w:val="00ED0DC8"/>
    <w:rsid w:val="00EE2E34"/>
    <w:rsid w:val="00F03FA5"/>
    <w:rsid w:val="00F06A15"/>
    <w:rsid w:val="00F114CF"/>
    <w:rsid w:val="00F20B6C"/>
    <w:rsid w:val="00F35E7A"/>
    <w:rsid w:val="00F368C7"/>
    <w:rsid w:val="00F37C6D"/>
    <w:rsid w:val="00F42A84"/>
    <w:rsid w:val="00F46ED3"/>
    <w:rsid w:val="00F51FB4"/>
    <w:rsid w:val="00FA044B"/>
    <w:rsid w:val="00FA07A2"/>
    <w:rsid w:val="00FA1E0B"/>
    <w:rsid w:val="00FA2D4A"/>
    <w:rsid w:val="00FA38A7"/>
    <w:rsid w:val="00FB37B0"/>
    <w:rsid w:val="00FB3BD2"/>
    <w:rsid w:val="00FF3586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E4"/>
    <w:rPr>
      <w:color w:val="595959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18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8BB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1B0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E90067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0067"/>
    <w:rPr>
      <w:rFonts w:ascii="Calibri" w:hAnsi="Calibri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2C8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customStyle="1" w:styleId="a">
    <w:name w:val="Цветовое выделение"/>
    <w:uiPriority w:val="99"/>
    <w:rsid w:val="00AC0E40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AC0E40"/>
    <w:rPr>
      <w:rFonts w:ascii="Times New Roman" w:hAnsi="Times New Roman" w:cs="Times New Roman"/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2E2B2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2E2B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">
    <w:name w:val="Основной текст1"/>
    <w:basedOn w:val="Normal"/>
    <w:uiPriority w:val="99"/>
    <w:rsid w:val="006A1237"/>
    <w:pPr>
      <w:shd w:val="clear" w:color="auto" w:fill="FFFFFF"/>
      <w:spacing w:line="317" w:lineRule="exact"/>
    </w:pPr>
    <w:rPr>
      <w:rFonts w:ascii="Arial" w:hAnsi="Arial" w:cs="Arial"/>
      <w:color w:val="auto"/>
      <w:spacing w:val="10"/>
      <w:sz w:val="25"/>
      <w:szCs w:val="25"/>
      <w:lang w:eastAsia="ru-RU"/>
    </w:rPr>
  </w:style>
  <w:style w:type="character" w:customStyle="1" w:styleId="10">
    <w:name w:val="Основной текст + 10"/>
    <w:aliases w:val="5 pt,Интервал 0 pt5"/>
    <w:uiPriority w:val="99"/>
    <w:rsid w:val="006A123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2,Полужирный,Интервал 0 pt4"/>
    <w:uiPriority w:val="99"/>
    <w:rsid w:val="006A1237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1,Полужирный2,Интервал 0 pt3"/>
    <w:uiPriority w:val="99"/>
    <w:rsid w:val="006A1237"/>
    <w:rPr>
      <w:rFonts w:ascii="Times New Roman" w:hAnsi="Times New Roman" w:cs="Times New Roman"/>
      <w:b/>
      <w:bCs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aliases w:val="Полужирный1,Интервал 0 pt2"/>
    <w:uiPriority w:val="99"/>
    <w:rsid w:val="006A1237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60">
    <w:name w:val="Основной текст (6) + Курсив"/>
    <w:aliases w:val="Интервал 0 pt1"/>
    <w:uiPriority w:val="99"/>
    <w:rsid w:val="006A1237"/>
    <w:rPr>
      <w:rFonts w:ascii="Times New Roman" w:hAnsi="Times New Roman" w:cs="Times New Roman"/>
      <w:i/>
      <w:iCs/>
      <w:color w:val="000000"/>
      <w:spacing w:val="-3"/>
      <w:w w:val="100"/>
      <w:position w:val="0"/>
      <w:sz w:val="21"/>
      <w:szCs w:val="21"/>
      <w:u w:val="none"/>
      <w:lang w:val="ru-RU" w:eastAsia="ru-RU"/>
    </w:rPr>
  </w:style>
  <w:style w:type="character" w:customStyle="1" w:styleId="61">
    <w:name w:val="Основной текст (6) + Курсив1"/>
    <w:uiPriority w:val="99"/>
    <w:rsid w:val="006A1237"/>
    <w:rPr>
      <w:rFonts w:ascii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hyperlink" Target="file:///C:\Documents%20and%20Settings\&#1050;&#1086;&#1079;&#1091;&#1073;\&#1056;&#1072;&#1073;&#1086;&#1095;&#1080;&#1081;%20&#1089;&#1090;&#1086;&#1083;\&#1087;&#1088;&#1086;&#1075;&#1088;&#1072;&#1084;&#1084;&#1072;%20&#1088;&#1072;&#1079;&#1074;&#1080;&#1090;&#1080;&#1103;\&#1042;%20&#1072;&#1076;&#1084;&#1080;&#1085;&#1080;&#1089;&#1090;&#1088;&#1072;&#1094;&#1080;&#1102;\&#1054;&#1076;&#1072;&#1088;&#1077;&#1085;&#1085;&#1099;&#1077;%20&#1076;&#1077;&#1090;&#1080;.docx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hyperlink" Target="garantF1://70308460.100000" TargetMode="External"/><Relationship Id="rId4" Type="http://schemas.openxmlformats.org/officeDocument/2006/relationships/hyperlink" Target="file:///C:\Documents%20and%20Settings\&#1050;&#1086;&#1079;&#1091;&#1073;\&#1056;&#1072;&#1073;&#1086;&#1095;&#1080;&#1081;%20&#1089;&#1090;&#1086;&#1083;\&#1087;&#1088;&#1086;&#1075;&#1088;&#1072;&#1084;&#1084;&#1072;%20&#1088;&#1072;&#1079;&#1074;&#1080;&#1090;&#1080;&#1103;\&#1042;%20&#1072;&#1076;&#1084;&#1080;&#1085;&#1080;&#1089;&#1090;&#1088;&#1072;&#1094;&#1080;&#1102;\&#1054;&#1076;&#1072;&#1088;&#1077;&#1085;&#1085;&#1099;&#1077;%20&#1076;&#1077;&#1090;&#1080;.docx" TargetMode="Externa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29</Pages>
  <Words>5904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Приложение № 3          </dc:title>
  <dc:subject/>
  <dc:creator>Admin</dc:creator>
  <cp:keywords/>
  <dc:description/>
  <cp:lastModifiedBy>Kozub</cp:lastModifiedBy>
  <cp:revision>6</cp:revision>
  <cp:lastPrinted>2015-03-27T04:11:00Z</cp:lastPrinted>
  <dcterms:created xsi:type="dcterms:W3CDTF">2015-03-26T03:28:00Z</dcterms:created>
  <dcterms:modified xsi:type="dcterms:W3CDTF">2015-03-27T04:11:00Z</dcterms:modified>
</cp:coreProperties>
</file>